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DE ADOÇÃO</w:t>
      </w:r>
    </w:p>
    <w:p>
      <w:pPr>
        <w:spacing w:after="160"/>
        <w:jc w:val="center"/>
      </w:pPr>
      <w:r>
        <w:rPr>
          <w:rFonts w:ascii="Calibri" w:hAnsi="Calibri"/>
          <w:b/>
          <w:color w:val="143C64"/>
          <w:sz w:val="48"/>
        </w:rPr>
        <w:t>Guia de Implantação no Serviço</w:t>
      </w:r>
    </w:p>
    <w:p>
      <w:pPr>
        <w:spacing w:after="720"/>
        <w:jc w:val="center"/>
      </w:pPr>
      <w:r>
        <w:rPr>
          <w:rFonts w:ascii="Calibri" w:hAnsi="Calibri"/>
          <w:b w:val="0"/>
          <w:i w:val="0"/>
          <w:color w:val="444A52"/>
          <w:sz w:val="26"/>
        </w:rPr>
        <w:t>Roteiro em noventa dias para o Responsável Técnico converter o pacote da Câmara Técnica em rotina verificável de consultório ou clínica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N5-IMP-01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Submetido à deliberação do colegiado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O problema que este guia resolve</w:t>
      </w:r>
    </w:p>
    <w:p>
      <w:pPr>
        <w:spacing w:after="120"/>
        <w:jc w:val="both"/>
      </w:pPr>
      <w:r>
        <w:rPr>
          <w:rFonts w:ascii="Calibri" w:hAnsi="Calibri"/>
          <w:b w:val="0"/>
          <w:i w:val="0"/>
          <w:color w:val="1A1A1A"/>
          <w:sz w:val="24"/>
        </w:rPr>
        <w:t>Um pacote técnico de duzentas páginas não muda a prática por si só. Entre o documento aprovado e o comportamento no consultório existe uma distância que costuma ser ignorada, e é nela que a maioria dos programas institucionais falha. Este guia encurta essa distância, propondo uma ordem de adoção em noventa dias, com critério de verificação em cada etapa.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Ordem de adoção, e por quê</w:t>
            </w:r>
          </w:p>
          <w:p>
            <w:pPr>
              <w:spacing w:after="0"/>
              <w:jc w:val="both"/>
            </w:pPr>
            <w:r>
              <w:rPr>
                <w:rFonts w:ascii="Calibri" w:hAnsi="Calibri"/>
                <w:color w:val="1A1A1A"/>
                <w:sz w:val="24"/>
              </w:rPr>
              <w:t>A sequência não é arbitrária. Começa pelo que custa menos e evita mais: a camada de prevenção. Depois vem a resposta, porque de nada adianta reconhecer sem saber o que fazer. Só então vêm rastreabilidade e tecnologia, que são estruturantes mas não salvam ninguém na próxima segunda-feira.</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Etapa 1. Primeiros trinta dias: prevenção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76"/>
        <w:gridCol w:w="2149"/>
        <w:gridCol w:w="3447"/>
      </w:tblGrid>
      <w:tr>
        <w:trPr>
          <w:cantSplit/>
          <w:tblHeader/>
        </w:trPr>
        <w:tc>
          <w:tcPr>
            <w:tcW w:type="dxa" w:w="3476"/>
            <w:shd w:val="clear" w:color="auto" w:fill="143C64"/>
          </w:tcPr>
          <w:p>
            <w:pPr>
              <w:spacing w:after="0"/>
              <w:jc w:val="left"/>
            </w:pPr>
            <w:r/>
            <w:r>
              <w:rPr>
                <w:rFonts w:ascii="Calibri" w:hAnsi="Calibri"/>
                <w:b/>
                <w:color w:val="FFFFFF"/>
                <w:sz w:val="24"/>
              </w:rPr>
              <w:t>Ação</w:t>
            </w:r>
          </w:p>
        </w:tc>
        <w:tc>
          <w:tcPr>
            <w:tcW w:type="dxa" w:w="2149"/>
            <w:shd w:val="clear" w:color="auto" w:fill="143C64"/>
          </w:tcPr>
          <w:p>
            <w:pPr>
              <w:spacing w:after="0"/>
              <w:jc w:val="left"/>
            </w:pPr>
            <w:r/>
            <w:r>
              <w:rPr>
                <w:rFonts w:ascii="Calibri" w:hAnsi="Calibri"/>
                <w:b/>
                <w:color w:val="FFFFFF"/>
                <w:sz w:val="24"/>
              </w:rPr>
              <w:t>Documento de apoio</w:t>
            </w:r>
          </w:p>
        </w:tc>
        <w:tc>
          <w:tcPr>
            <w:tcW w:type="dxa" w:w="3447"/>
            <w:shd w:val="clear" w:color="auto" w:fill="143C64"/>
          </w:tcPr>
          <w:p>
            <w:pPr>
              <w:spacing w:after="0"/>
              <w:jc w:val="left"/>
            </w:pPr>
            <w:r/>
            <w:r>
              <w:rPr>
                <w:rFonts w:ascii="Calibri" w:hAnsi="Calibri"/>
                <w:b/>
                <w:color w:val="FFFFFF"/>
                <w:sz w:val="24"/>
              </w:rPr>
              <w:t>Critério de verificação</w:t>
            </w:r>
          </w:p>
        </w:tc>
      </w:tr>
      <w:tr>
        <w:trPr>
          <w:cantSplit/>
        </w:trPr>
        <w:tc>
          <w:tcPr>
            <w:tcW w:type="dxa" w:w="3476"/>
          </w:tcPr>
          <w:p>
            <w:pPr>
              <w:spacing w:after="0"/>
              <w:jc w:val="left"/>
            </w:pPr>
            <w:r/>
            <w:r>
              <w:rPr>
                <w:rFonts w:ascii="Calibri" w:hAnsi="Calibri"/>
                <w:b w:val="0"/>
                <w:color w:val="1A1A1A"/>
                <w:sz w:val="24"/>
              </w:rPr>
              <w:t>Adotar o Checklist de Segurança Clínica em todos os atendimentos.</w:t>
            </w:r>
          </w:p>
        </w:tc>
        <w:tc>
          <w:tcPr>
            <w:tcW w:type="dxa" w:w="2149"/>
          </w:tcPr>
          <w:p>
            <w:pPr>
              <w:spacing w:after="0"/>
              <w:jc w:val="left"/>
            </w:pPr>
            <w:r/>
            <w:r>
              <w:rPr>
                <w:rFonts w:ascii="Calibri" w:hAnsi="Calibri"/>
                <w:b w:val="0"/>
                <w:color w:val="1A1A1A"/>
                <w:sz w:val="24"/>
              </w:rPr>
              <w:t>Documento 09</w:t>
            </w:r>
          </w:p>
        </w:tc>
        <w:tc>
          <w:tcPr>
            <w:tcW w:type="dxa" w:w="3447"/>
          </w:tcPr>
          <w:p>
            <w:pPr>
              <w:spacing w:after="0"/>
              <w:jc w:val="left"/>
            </w:pPr>
            <w:r/>
            <w:r>
              <w:rPr>
                <w:rFonts w:ascii="Calibri" w:hAnsi="Calibri"/>
                <w:b w:val="0"/>
                <w:color w:val="1A1A1A"/>
                <w:sz w:val="24"/>
              </w:rPr>
              <w:t>Checklist preenchido em cem por cento dos procedimentos da semana auditada.</w:t>
            </w:r>
          </w:p>
        </w:tc>
      </w:tr>
      <w:tr>
        <w:trPr>
          <w:cantSplit/>
        </w:trPr>
        <w:tc>
          <w:tcPr>
            <w:tcW w:type="dxa" w:w="3476"/>
            <w:shd w:val="clear" w:color="auto" w:fill="F2F5F8"/>
          </w:tcPr>
          <w:p>
            <w:pPr>
              <w:spacing w:after="0"/>
              <w:jc w:val="left"/>
            </w:pPr>
            <w:r/>
            <w:r>
              <w:rPr>
                <w:rFonts w:ascii="Calibri" w:hAnsi="Calibri"/>
                <w:b w:val="0"/>
                <w:color w:val="1A1A1A"/>
                <w:sz w:val="24"/>
              </w:rPr>
              <w:t>Implantar a pausa de segurança verbalizada.</w:t>
            </w:r>
          </w:p>
        </w:tc>
        <w:tc>
          <w:tcPr>
            <w:tcW w:type="dxa" w:w="2149"/>
            <w:shd w:val="clear" w:color="auto" w:fill="F2F5F8"/>
          </w:tcPr>
          <w:p>
            <w:pPr>
              <w:spacing w:after="0"/>
              <w:jc w:val="left"/>
            </w:pPr>
            <w:r/>
            <w:r>
              <w:rPr>
                <w:rFonts w:ascii="Calibri" w:hAnsi="Calibri"/>
                <w:b w:val="0"/>
                <w:color w:val="1A1A1A"/>
                <w:sz w:val="24"/>
              </w:rPr>
              <w:t>Documento 09, bloco C</w:t>
            </w:r>
          </w:p>
        </w:tc>
        <w:tc>
          <w:tcPr>
            <w:tcW w:type="dxa" w:w="3447"/>
            <w:shd w:val="clear" w:color="auto" w:fill="F2F5F8"/>
          </w:tcPr>
          <w:p>
            <w:pPr>
              <w:spacing w:after="0"/>
              <w:jc w:val="left"/>
            </w:pPr>
            <w:r/>
            <w:r>
              <w:rPr>
                <w:rFonts w:ascii="Calibri" w:hAnsi="Calibri"/>
                <w:b w:val="0"/>
                <w:color w:val="1A1A1A"/>
                <w:sz w:val="24"/>
              </w:rPr>
              <w:t>Observação direta de três procedimentos, com a pausa efetivamente realizada em voz alta.</w:t>
            </w:r>
          </w:p>
        </w:tc>
      </w:tr>
      <w:tr>
        <w:trPr>
          <w:cantSplit/>
        </w:trPr>
        <w:tc>
          <w:tcPr>
            <w:tcW w:type="dxa" w:w="3476"/>
          </w:tcPr>
          <w:p>
            <w:pPr>
              <w:spacing w:after="0"/>
              <w:jc w:val="left"/>
            </w:pPr>
            <w:r/>
            <w:r>
              <w:rPr>
                <w:rFonts w:ascii="Calibri" w:hAnsi="Calibri"/>
                <w:b w:val="0"/>
                <w:color w:val="1A1A1A"/>
                <w:sz w:val="24"/>
              </w:rPr>
              <w:t>Definir por escrito as rotas de encaminhamento, inclusive oftalmológica e neurológica.</w:t>
            </w:r>
          </w:p>
        </w:tc>
        <w:tc>
          <w:tcPr>
            <w:tcW w:type="dxa" w:w="2149"/>
          </w:tcPr>
          <w:p>
            <w:pPr>
              <w:spacing w:after="0"/>
              <w:jc w:val="left"/>
            </w:pPr>
            <w:r/>
            <w:r>
              <w:rPr>
                <w:rFonts w:ascii="Calibri" w:hAnsi="Calibri"/>
                <w:b w:val="0"/>
                <w:color w:val="1A1A1A"/>
                <w:sz w:val="24"/>
              </w:rPr>
              <w:t>Documento 07, seção 5</w:t>
            </w:r>
          </w:p>
        </w:tc>
        <w:tc>
          <w:tcPr>
            <w:tcW w:type="dxa" w:w="3447"/>
          </w:tcPr>
          <w:p>
            <w:pPr>
              <w:spacing w:after="0"/>
              <w:jc w:val="left"/>
            </w:pPr>
            <w:r/>
            <w:r>
              <w:rPr>
                <w:rFonts w:ascii="Calibri" w:hAnsi="Calibri"/>
                <w:b w:val="0"/>
                <w:color w:val="1A1A1A"/>
                <w:sz w:val="24"/>
              </w:rPr>
              <w:t>Documento afixado, com contato testado por ligação.</w:t>
            </w:r>
          </w:p>
        </w:tc>
      </w:tr>
      <w:tr>
        <w:trPr>
          <w:cantSplit/>
        </w:trPr>
        <w:tc>
          <w:tcPr>
            <w:tcW w:type="dxa" w:w="3476"/>
            <w:shd w:val="clear" w:color="auto" w:fill="F2F5F8"/>
          </w:tcPr>
          <w:p>
            <w:pPr>
              <w:spacing w:after="0"/>
              <w:jc w:val="left"/>
            </w:pPr>
            <w:r/>
            <w:r>
              <w:rPr>
                <w:rFonts w:ascii="Calibri" w:hAnsi="Calibri"/>
                <w:b w:val="0"/>
                <w:color w:val="1A1A1A"/>
                <w:sz w:val="24"/>
              </w:rPr>
              <w:t>Conferir e organizar o kit de resposta a intercorrências.</w:t>
            </w:r>
          </w:p>
        </w:tc>
        <w:tc>
          <w:tcPr>
            <w:tcW w:type="dxa" w:w="2149"/>
            <w:shd w:val="clear" w:color="auto" w:fill="F2F5F8"/>
          </w:tcPr>
          <w:p>
            <w:pPr>
              <w:spacing w:after="0"/>
              <w:jc w:val="left"/>
            </w:pPr>
            <w:r/>
            <w:r>
              <w:rPr>
                <w:rFonts w:ascii="Calibri" w:hAnsi="Calibri"/>
                <w:b w:val="0"/>
                <w:color w:val="1A1A1A"/>
                <w:sz w:val="24"/>
              </w:rPr>
              <w:t>POP-N5-09</w:t>
            </w:r>
          </w:p>
        </w:tc>
        <w:tc>
          <w:tcPr>
            <w:tcW w:type="dxa" w:w="3447"/>
            <w:shd w:val="clear" w:color="auto" w:fill="F2F5F8"/>
          </w:tcPr>
          <w:p>
            <w:pPr>
              <w:spacing w:after="0"/>
              <w:jc w:val="left"/>
            </w:pPr>
            <w:r/>
            <w:r>
              <w:rPr>
                <w:rFonts w:ascii="Calibri" w:hAnsi="Calibri"/>
                <w:b w:val="0"/>
                <w:color w:val="1A1A1A"/>
                <w:sz w:val="24"/>
              </w:rPr>
              <w:t>Planilha de conferência assinada, sem item vencido.</w:t>
            </w:r>
          </w:p>
        </w:tc>
      </w:tr>
      <w:tr>
        <w:trPr>
          <w:cantSplit/>
        </w:trPr>
        <w:tc>
          <w:tcPr>
            <w:tcW w:type="dxa" w:w="3476"/>
          </w:tcPr>
          <w:p>
            <w:pPr>
              <w:spacing w:after="0"/>
              <w:jc w:val="left"/>
            </w:pPr>
            <w:r/>
            <w:r>
              <w:rPr>
                <w:rFonts w:ascii="Calibri" w:hAnsi="Calibri"/>
                <w:b w:val="0"/>
                <w:color w:val="1A1A1A"/>
                <w:sz w:val="24"/>
              </w:rPr>
              <w:t>Entregar orientação escrita pós-procedimento a todos os pacientes.</w:t>
            </w:r>
          </w:p>
        </w:tc>
        <w:tc>
          <w:tcPr>
            <w:tcW w:type="dxa" w:w="2149"/>
          </w:tcPr>
          <w:p>
            <w:pPr>
              <w:spacing w:after="0"/>
              <w:jc w:val="left"/>
            </w:pPr>
            <w:r/>
            <w:r>
              <w:rPr>
                <w:rFonts w:ascii="Calibri" w:hAnsi="Calibri"/>
                <w:b w:val="0"/>
                <w:color w:val="1A1A1A"/>
                <w:sz w:val="24"/>
              </w:rPr>
              <w:t>Documento 18, seção 7</w:t>
            </w:r>
          </w:p>
        </w:tc>
        <w:tc>
          <w:tcPr>
            <w:tcW w:type="dxa" w:w="3447"/>
          </w:tcPr>
          <w:p>
            <w:pPr>
              <w:spacing w:after="0"/>
              <w:jc w:val="left"/>
            </w:pPr>
            <w:r/>
            <w:r>
              <w:rPr>
                <w:rFonts w:ascii="Calibri" w:hAnsi="Calibri"/>
                <w:b w:val="0"/>
                <w:color w:val="1A1A1A"/>
                <w:sz w:val="24"/>
              </w:rPr>
              <w:t>Cópia do cartão no prontuário, com registro de entrega.</w:t>
            </w:r>
          </w:p>
        </w:tc>
      </w:tr>
    </w:tbl>
    <w:p>
      <w:pPr>
        <w:keepNext/>
        <w:spacing w:before="360" w:after="160"/>
        <w:jc w:val="left"/>
        <w:pBdr>
          <w:bottom w:val="single" w:sz="8" w:space="4" w:color="143C64"/>
        </w:pBdr>
      </w:pPr>
      <w:r>
        <w:rPr>
          <w:rFonts w:ascii="Calibri" w:hAnsi="Calibri"/>
          <w:b/>
          <w:color w:val="143C64"/>
          <w:sz w:val="30"/>
        </w:rPr>
        <w:t>3  Etapa 2. Dias trinta e um a sessenta: reconhecimento e resposta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03"/>
        <w:gridCol w:w="2475"/>
        <w:gridCol w:w="3294"/>
      </w:tblGrid>
      <w:tr>
        <w:trPr>
          <w:cantSplit/>
          <w:tblHeader/>
        </w:trPr>
        <w:tc>
          <w:tcPr>
            <w:tcW w:type="dxa" w:w="3303"/>
            <w:shd w:val="clear" w:color="auto" w:fill="143C64"/>
          </w:tcPr>
          <w:p>
            <w:pPr>
              <w:spacing w:after="0"/>
              <w:jc w:val="left"/>
            </w:pPr>
            <w:r/>
            <w:r>
              <w:rPr>
                <w:rFonts w:ascii="Calibri" w:hAnsi="Calibri"/>
                <w:b/>
                <w:color w:val="FFFFFF"/>
                <w:sz w:val="24"/>
              </w:rPr>
              <w:t>Ação</w:t>
            </w:r>
          </w:p>
        </w:tc>
        <w:tc>
          <w:tcPr>
            <w:tcW w:type="dxa" w:w="2475"/>
            <w:shd w:val="clear" w:color="auto" w:fill="143C64"/>
          </w:tcPr>
          <w:p>
            <w:pPr>
              <w:spacing w:after="0"/>
              <w:jc w:val="left"/>
            </w:pPr>
            <w:r/>
            <w:r>
              <w:rPr>
                <w:rFonts w:ascii="Calibri" w:hAnsi="Calibri"/>
                <w:b/>
                <w:color w:val="FFFFFF"/>
                <w:sz w:val="24"/>
              </w:rPr>
              <w:t>Documento de apoio</w:t>
            </w:r>
          </w:p>
        </w:tc>
        <w:tc>
          <w:tcPr>
            <w:tcW w:type="dxa" w:w="3294"/>
            <w:shd w:val="clear" w:color="auto" w:fill="143C64"/>
          </w:tcPr>
          <w:p>
            <w:pPr>
              <w:spacing w:after="0"/>
              <w:jc w:val="left"/>
            </w:pPr>
            <w:r/>
            <w:r>
              <w:rPr>
                <w:rFonts w:ascii="Calibri" w:hAnsi="Calibri"/>
                <w:b/>
                <w:color w:val="FFFFFF"/>
                <w:sz w:val="24"/>
              </w:rPr>
              <w:t>Critério de verificação</w:t>
            </w:r>
          </w:p>
        </w:tc>
      </w:tr>
      <w:tr>
        <w:trPr>
          <w:cantSplit/>
        </w:trPr>
        <w:tc>
          <w:tcPr>
            <w:tcW w:type="dxa" w:w="3303"/>
          </w:tcPr>
          <w:p>
            <w:pPr>
              <w:spacing w:after="0"/>
              <w:jc w:val="left"/>
            </w:pPr>
            <w:r/>
            <w:r>
              <w:rPr>
                <w:rFonts w:ascii="Calibri" w:hAnsi="Calibri"/>
                <w:b w:val="0"/>
                <w:color w:val="1A1A1A"/>
                <w:sz w:val="24"/>
              </w:rPr>
              <w:t>Adotar os POPs de intercorrência e afixar os cartões de consulta rápida.</w:t>
            </w:r>
          </w:p>
        </w:tc>
        <w:tc>
          <w:tcPr>
            <w:tcW w:type="dxa" w:w="2475"/>
          </w:tcPr>
          <w:p>
            <w:pPr>
              <w:spacing w:after="0"/>
              <w:jc w:val="left"/>
            </w:pPr>
            <w:r/>
            <w:r>
              <w:rPr>
                <w:rFonts w:ascii="Calibri" w:hAnsi="Calibri"/>
                <w:b w:val="0"/>
                <w:color w:val="1A1A1A"/>
                <w:sz w:val="24"/>
              </w:rPr>
              <w:t>POPs 05, 06, 08 e 10; documento 21</w:t>
            </w:r>
          </w:p>
        </w:tc>
        <w:tc>
          <w:tcPr>
            <w:tcW w:type="dxa" w:w="3294"/>
          </w:tcPr>
          <w:p>
            <w:pPr>
              <w:spacing w:after="0"/>
              <w:jc w:val="left"/>
            </w:pPr>
            <w:r/>
            <w:r>
              <w:rPr>
                <w:rFonts w:ascii="Calibri" w:hAnsi="Calibri"/>
                <w:b w:val="0"/>
                <w:color w:val="1A1A1A"/>
                <w:sz w:val="24"/>
              </w:rPr>
              <w:t>Cartões afixados no ambiente do procedimento e equipe capaz de localizá-los em menos de dez segundos.</w:t>
            </w:r>
          </w:p>
        </w:tc>
      </w:tr>
      <w:tr>
        <w:trPr>
          <w:cantSplit/>
        </w:trPr>
        <w:tc>
          <w:tcPr>
            <w:tcW w:type="dxa" w:w="3303"/>
            <w:shd w:val="clear" w:color="auto" w:fill="F2F5F8"/>
          </w:tcPr>
          <w:p>
            <w:pPr>
              <w:spacing w:after="0"/>
              <w:jc w:val="left"/>
            </w:pPr>
            <w:r/>
            <w:r>
              <w:rPr>
                <w:rFonts w:ascii="Calibri" w:hAnsi="Calibri"/>
                <w:b w:val="0"/>
                <w:color w:val="1A1A1A"/>
                <w:sz w:val="24"/>
              </w:rPr>
              <w:t>Treinar a equipe no fluxo de urgência.</w:t>
            </w:r>
          </w:p>
        </w:tc>
        <w:tc>
          <w:tcPr>
            <w:tcW w:type="dxa" w:w="2475"/>
            <w:shd w:val="clear" w:color="auto" w:fill="F2F5F8"/>
          </w:tcPr>
          <w:p>
            <w:pPr>
              <w:spacing w:after="0"/>
              <w:jc w:val="left"/>
            </w:pPr>
            <w:r/>
            <w:r>
              <w:rPr>
                <w:rFonts w:ascii="Calibri" w:hAnsi="Calibri"/>
                <w:b w:val="0"/>
                <w:color w:val="1A1A1A"/>
                <w:sz w:val="24"/>
              </w:rPr>
              <w:t>Documento 07; documento 19, instrumento D</w:t>
            </w:r>
          </w:p>
        </w:tc>
        <w:tc>
          <w:tcPr>
            <w:tcW w:type="dxa" w:w="3294"/>
            <w:shd w:val="clear" w:color="auto" w:fill="F2F5F8"/>
          </w:tcPr>
          <w:p>
            <w:pPr>
              <w:spacing w:after="0"/>
              <w:jc w:val="left"/>
            </w:pPr>
            <w:r/>
            <w:r>
              <w:rPr>
                <w:rFonts w:ascii="Calibri" w:hAnsi="Calibri"/>
                <w:b w:val="0"/>
                <w:color w:val="1A1A1A"/>
                <w:sz w:val="24"/>
              </w:rPr>
              <w:t>Lista de presença e simulação realizada, com registro.</w:t>
            </w:r>
          </w:p>
        </w:tc>
      </w:tr>
      <w:tr>
        <w:trPr>
          <w:cantSplit/>
        </w:trPr>
        <w:tc>
          <w:tcPr>
            <w:tcW w:type="dxa" w:w="3303"/>
          </w:tcPr>
          <w:p>
            <w:pPr>
              <w:spacing w:after="0"/>
              <w:jc w:val="left"/>
            </w:pPr>
            <w:r/>
            <w:r>
              <w:rPr>
                <w:rFonts w:ascii="Calibri" w:hAnsi="Calibri"/>
                <w:b w:val="0"/>
                <w:color w:val="1A1A1A"/>
                <w:sz w:val="24"/>
              </w:rPr>
              <w:t>Implantar o registro dos três horários em todo evento.</w:t>
            </w:r>
          </w:p>
        </w:tc>
        <w:tc>
          <w:tcPr>
            <w:tcW w:type="dxa" w:w="2475"/>
          </w:tcPr>
          <w:p>
            <w:pPr>
              <w:spacing w:after="0"/>
              <w:jc w:val="left"/>
            </w:pPr>
            <w:r/>
            <w:r>
              <w:rPr>
                <w:rFonts w:ascii="Calibri" w:hAnsi="Calibri"/>
                <w:b w:val="0"/>
                <w:color w:val="1A1A1A"/>
                <w:sz w:val="24"/>
              </w:rPr>
              <w:t>Documento 19, instrumento A</w:t>
            </w:r>
          </w:p>
        </w:tc>
        <w:tc>
          <w:tcPr>
            <w:tcW w:type="dxa" w:w="3294"/>
          </w:tcPr>
          <w:p>
            <w:pPr>
              <w:spacing w:after="0"/>
              <w:jc w:val="left"/>
            </w:pPr>
            <w:r/>
            <w:r>
              <w:rPr>
                <w:rFonts w:ascii="Calibri" w:hAnsi="Calibri"/>
                <w:b w:val="0"/>
                <w:color w:val="1A1A1A"/>
                <w:sz w:val="24"/>
              </w:rPr>
              <w:t>Formulário disponível no ambiente e preenchido em qualquer ocorrência.</w:t>
            </w:r>
          </w:p>
        </w:tc>
      </w:tr>
      <w:tr>
        <w:trPr>
          <w:cantSplit/>
        </w:trPr>
        <w:tc>
          <w:tcPr>
            <w:tcW w:type="dxa" w:w="3303"/>
            <w:shd w:val="clear" w:color="auto" w:fill="F2F5F8"/>
          </w:tcPr>
          <w:p>
            <w:pPr>
              <w:spacing w:after="0"/>
              <w:jc w:val="left"/>
            </w:pPr>
            <w:r/>
            <w:r>
              <w:rPr>
                <w:rFonts w:ascii="Calibri" w:hAnsi="Calibri"/>
                <w:b w:val="0"/>
                <w:color w:val="1A1A1A"/>
                <w:sz w:val="24"/>
              </w:rPr>
              <w:t>Definir o protocolo terapêutico do serviço para intercorrência vascular, com fonte declarada.</w:t>
            </w:r>
          </w:p>
        </w:tc>
        <w:tc>
          <w:tcPr>
            <w:tcW w:type="dxa" w:w="2475"/>
            <w:shd w:val="clear" w:color="auto" w:fill="F2F5F8"/>
          </w:tcPr>
          <w:p>
            <w:pPr>
              <w:spacing w:after="0"/>
              <w:jc w:val="left"/>
            </w:pPr>
            <w:r/>
            <w:r>
              <w:rPr>
                <w:rFonts w:ascii="Calibri" w:hAnsi="Calibri"/>
                <w:b w:val="0"/>
                <w:color w:val="1A1A1A"/>
                <w:sz w:val="24"/>
              </w:rPr>
              <w:t>POPs 05 e 06</w:t>
            </w:r>
          </w:p>
        </w:tc>
        <w:tc>
          <w:tcPr>
            <w:tcW w:type="dxa" w:w="3294"/>
            <w:shd w:val="clear" w:color="auto" w:fill="F2F5F8"/>
          </w:tcPr>
          <w:p>
            <w:pPr>
              <w:spacing w:after="0"/>
              <w:jc w:val="left"/>
            </w:pPr>
            <w:r/>
            <w:r>
              <w:rPr>
                <w:rFonts w:ascii="Calibri" w:hAnsi="Calibri"/>
                <w:b w:val="0"/>
                <w:color w:val="1A1A1A"/>
                <w:sz w:val="24"/>
              </w:rPr>
              <w:t>Protocolo escrito, com fonte, data de consulta e aprovação do Responsável Técnico.</w:t>
            </w:r>
          </w:p>
        </w:tc>
      </w:tr>
    </w:tbl>
    <w:p>
      <w:pPr>
        <w:keepNext/>
        <w:spacing w:before="360" w:after="160"/>
        <w:jc w:val="left"/>
        <w:pBdr>
          <w:bottom w:val="single" w:sz="8" w:space="4" w:color="143C64"/>
        </w:pBdr>
      </w:pPr>
      <w:r>
        <w:rPr>
          <w:rFonts w:ascii="Calibri" w:hAnsi="Calibri"/>
          <w:b/>
          <w:color w:val="143C64"/>
          <w:sz w:val="30"/>
        </w:rPr>
        <w:t>4  Etapa 3. Dias sessenta e um a noventa: rastreabilidade e tecnologia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297"/>
        <w:gridCol w:w="2385"/>
        <w:gridCol w:w="3390"/>
      </w:tblGrid>
      <w:tr>
        <w:trPr>
          <w:cantSplit/>
          <w:tblHeader/>
        </w:trPr>
        <w:tc>
          <w:tcPr>
            <w:tcW w:type="dxa" w:w="3297"/>
            <w:shd w:val="clear" w:color="auto" w:fill="143C64"/>
          </w:tcPr>
          <w:p>
            <w:pPr>
              <w:spacing w:after="0"/>
              <w:jc w:val="left"/>
            </w:pPr>
            <w:r/>
            <w:r>
              <w:rPr>
                <w:rFonts w:ascii="Calibri" w:hAnsi="Calibri"/>
                <w:b/>
                <w:color w:val="FFFFFF"/>
                <w:sz w:val="24"/>
              </w:rPr>
              <w:t>Ação</w:t>
            </w:r>
          </w:p>
        </w:tc>
        <w:tc>
          <w:tcPr>
            <w:tcW w:type="dxa" w:w="2385"/>
            <w:shd w:val="clear" w:color="auto" w:fill="143C64"/>
          </w:tcPr>
          <w:p>
            <w:pPr>
              <w:spacing w:after="0"/>
              <w:jc w:val="left"/>
            </w:pPr>
            <w:r/>
            <w:r>
              <w:rPr>
                <w:rFonts w:ascii="Calibri" w:hAnsi="Calibri"/>
                <w:b/>
                <w:color w:val="FFFFFF"/>
                <w:sz w:val="24"/>
              </w:rPr>
              <w:t>Documento de apoio</w:t>
            </w:r>
          </w:p>
        </w:tc>
        <w:tc>
          <w:tcPr>
            <w:tcW w:type="dxa" w:w="3390"/>
            <w:shd w:val="clear" w:color="auto" w:fill="143C64"/>
          </w:tcPr>
          <w:p>
            <w:pPr>
              <w:spacing w:after="0"/>
              <w:jc w:val="left"/>
            </w:pPr>
            <w:r/>
            <w:r>
              <w:rPr>
                <w:rFonts w:ascii="Calibri" w:hAnsi="Calibri"/>
                <w:b/>
                <w:color w:val="FFFFFF"/>
                <w:sz w:val="24"/>
              </w:rPr>
              <w:t>Critério de verificação</w:t>
            </w:r>
          </w:p>
        </w:tc>
      </w:tr>
      <w:tr>
        <w:trPr>
          <w:cantSplit/>
        </w:trPr>
        <w:tc>
          <w:tcPr>
            <w:tcW w:type="dxa" w:w="3297"/>
          </w:tcPr>
          <w:p>
            <w:pPr>
              <w:spacing w:after="0"/>
              <w:jc w:val="left"/>
            </w:pPr>
            <w:r/>
            <w:r>
              <w:rPr>
                <w:rFonts w:ascii="Calibri" w:hAnsi="Calibri"/>
                <w:b w:val="0"/>
                <w:color w:val="1A1A1A"/>
                <w:sz w:val="24"/>
              </w:rPr>
              <w:t>Implantar o registro mínimo de rastreabilidade em todos os procedimentos.</w:t>
            </w:r>
          </w:p>
        </w:tc>
        <w:tc>
          <w:tcPr>
            <w:tcW w:type="dxa" w:w="2385"/>
          </w:tcPr>
          <w:p>
            <w:pPr>
              <w:spacing w:after="0"/>
              <w:jc w:val="left"/>
            </w:pPr>
            <w:r/>
            <w:r>
              <w:rPr>
                <w:rFonts w:ascii="Calibri" w:hAnsi="Calibri"/>
                <w:b w:val="0"/>
                <w:color w:val="1A1A1A"/>
                <w:sz w:val="24"/>
              </w:rPr>
              <w:t>POP-N5-13</w:t>
            </w:r>
          </w:p>
        </w:tc>
        <w:tc>
          <w:tcPr>
            <w:tcW w:type="dxa" w:w="3390"/>
          </w:tcPr>
          <w:p>
            <w:pPr>
              <w:spacing w:after="0"/>
              <w:jc w:val="left"/>
            </w:pPr>
            <w:r/>
            <w:r>
              <w:rPr>
                <w:rFonts w:ascii="Calibri" w:hAnsi="Calibri"/>
                <w:b w:val="0"/>
                <w:color w:val="1A1A1A"/>
                <w:sz w:val="24"/>
              </w:rPr>
              <w:t>Auditoria de dez prontuários, com produto, lote, região e parâmetros em todos.</w:t>
            </w:r>
          </w:p>
        </w:tc>
      </w:tr>
      <w:tr>
        <w:trPr>
          <w:cantSplit/>
        </w:trPr>
        <w:tc>
          <w:tcPr>
            <w:tcW w:type="dxa" w:w="3297"/>
            <w:shd w:val="clear" w:color="auto" w:fill="F2F5F8"/>
          </w:tcPr>
          <w:p>
            <w:pPr>
              <w:spacing w:after="0"/>
              <w:jc w:val="left"/>
            </w:pPr>
            <w:r/>
            <w:r>
              <w:rPr>
                <w:rFonts w:ascii="Calibri" w:hAnsi="Calibri"/>
                <w:b w:val="0"/>
                <w:color w:val="1A1A1A"/>
                <w:sz w:val="24"/>
              </w:rPr>
              <w:t>Constituir o dossiê de cada tecnologia em uso.</w:t>
            </w:r>
          </w:p>
        </w:tc>
        <w:tc>
          <w:tcPr>
            <w:tcW w:type="dxa" w:w="2385"/>
            <w:shd w:val="clear" w:color="auto" w:fill="F2F5F8"/>
          </w:tcPr>
          <w:p>
            <w:pPr>
              <w:spacing w:after="0"/>
              <w:jc w:val="left"/>
            </w:pPr>
            <w:r/>
            <w:r>
              <w:rPr>
                <w:rFonts w:ascii="Calibri" w:hAnsi="Calibri"/>
                <w:b w:val="0"/>
                <w:color w:val="1A1A1A"/>
                <w:sz w:val="24"/>
              </w:rPr>
              <w:t>Documento 19, instrumento C</w:t>
            </w:r>
          </w:p>
        </w:tc>
        <w:tc>
          <w:tcPr>
            <w:tcW w:type="dxa" w:w="3390"/>
            <w:shd w:val="clear" w:color="auto" w:fill="F2F5F8"/>
          </w:tcPr>
          <w:p>
            <w:pPr>
              <w:spacing w:after="0"/>
              <w:jc w:val="left"/>
            </w:pPr>
            <w:r/>
            <w:r>
              <w:rPr>
                <w:rFonts w:ascii="Calibri" w:hAnsi="Calibri"/>
                <w:b w:val="0"/>
                <w:color w:val="1A1A1A"/>
                <w:sz w:val="24"/>
              </w:rPr>
              <w:t>Um dossiê por equipamento, com regularização consultada e datada.</w:t>
            </w:r>
          </w:p>
        </w:tc>
      </w:tr>
      <w:tr>
        <w:trPr>
          <w:cantSplit/>
        </w:trPr>
        <w:tc>
          <w:tcPr>
            <w:tcW w:type="dxa" w:w="3297"/>
          </w:tcPr>
          <w:p>
            <w:pPr>
              <w:spacing w:after="0"/>
              <w:jc w:val="left"/>
            </w:pPr>
            <w:r/>
            <w:r>
              <w:rPr>
                <w:rFonts w:ascii="Calibri" w:hAnsi="Calibri"/>
                <w:b w:val="0"/>
                <w:color w:val="1A1A1A"/>
                <w:sz w:val="24"/>
              </w:rPr>
              <w:t>Implantar o fluxo de notificação de evento adverso e queixa técnica.</w:t>
            </w:r>
          </w:p>
        </w:tc>
        <w:tc>
          <w:tcPr>
            <w:tcW w:type="dxa" w:w="2385"/>
          </w:tcPr>
          <w:p>
            <w:pPr>
              <w:spacing w:after="0"/>
              <w:jc w:val="left"/>
            </w:pPr>
            <w:r/>
            <w:r>
              <w:rPr>
                <w:rFonts w:ascii="Calibri" w:hAnsi="Calibri"/>
                <w:b w:val="0"/>
                <w:color w:val="1A1A1A"/>
                <w:sz w:val="24"/>
              </w:rPr>
              <w:t>POP-N5-17; documento 19, instrumento B</w:t>
            </w:r>
          </w:p>
        </w:tc>
        <w:tc>
          <w:tcPr>
            <w:tcW w:type="dxa" w:w="3390"/>
          </w:tcPr>
          <w:p>
            <w:pPr>
              <w:spacing w:after="0"/>
              <w:jc w:val="left"/>
            </w:pPr>
            <w:r/>
            <w:r>
              <w:rPr>
                <w:rFonts w:ascii="Calibri" w:hAnsi="Calibri"/>
                <w:b w:val="0"/>
                <w:color w:val="1A1A1A"/>
                <w:sz w:val="24"/>
              </w:rPr>
              <w:t>Responsável designado e fluxo escrito.</w:t>
            </w:r>
          </w:p>
        </w:tc>
      </w:tr>
      <w:tr>
        <w:trPr>
          <w:cantSplit/>
        </w:trPr>
        <w:tc>
          <w:tcPr>
            <w:tcW w:type="dxa" w:w="3297"/>
            <w:shd w:val="clear" w:color="auto" w:fill="F2F5F8"/>
          </w:tcPr>
          <w:p>
            <w:pPr>
              <w:spacing w:after="0"/>
              <w:jc w:val="left"/>
            </w:pPr>
            <w:r/>
            <w:r>
              <w:rPr>
                <w:rFonts w:ascii="Calibri" w:hAnsi="Calibri"/>
                <w:b w:val="0"/>
                <w:color w:val="1A1A1A"/>
                <w:sz w:val="24"/>
              </w:rPr>
              <w:t>Aplicar a Matriz de Avaliação a qualquer nova tecnologia antes da aquisição.</w:t>
            </w:r>
          </w:p>
        </w:tc>
        <w:tc>
          <w:tcPr>
            <w:tcW w:type="dxa" w:w="2385"/>
            <w:shd w:val="clear" w:color="auto" w:fill="F2F5F8"/>
          </w:tcPr>
          <w:p>
            <w:pPr>
              <w:spacing w:after="0"/>
              <w:jc w:val="left"/>
            </w:pPr>
            <w:r/>
            <w:r>
              <w:rPr>
                <w:rFonts w:ascii="Calibri" w:hAnsi="Calibri"/>
                <w:b w:val="0"/>
                <w:color w:val="1A1A1A"/>
                <w:sz w:val="24"/>
              </w:rPr>
              <w:t>Documento 06</w:t>
            </w:r>
          </w:p>
        </w:tc>
        <w:tc>
          <w:tcPr>
            <w:tcW w:type="dxa" w:w="3390"/>
            <w:shd w:val="clear" w:color="auto" w:fill="F2F5F8"/>
          </w:tcPr>
          <w:p>
            <w:pPr>
              <w:spacing w:after="0"/>
              <w:jc w:val="left"/>
            </w:pPr>
            <w:r/>
            <w:r>
              <w:rPr>
                <w:rFonts w:ascii="Calibri" w:hAnsi="Calibri"/>
                <w:b w:val="0"/>
                <w:color w:val="1A1A1A"/>
                <w:sz w:val="24"/>
              </w:rPr>
              <w:t>Parecer arquivado para toda aquisição do período.</w:t>
            </w:r>
          </w:p>
        </w:tc>
      </w:tr>
      <w:tr>
        <w:trPr>
          <w:cantSplit/>
        </w:trPr>
        <w:tc>
          <w:tcPr>
            <w:tcW w:type="dxa" w:w="3297"/>
          </w:tcPr>
          <w:p>
            <w:pPr>
              <w:spacing w:after="0"/>
              <w:jc w:val="left"/>
            </w:pPr>
            <w:r/>
            <w:r>
              <w:rPr>
                <w:rFonts w:ascii="Calibri" w:hAnsi="Calibri"/>
                <w:b w:val="0"/>
                <w:color w:val="1A1A1A"/>
                <w:sz w:val="24"/>
              </w:rPr>
              <w:t>Revisar a política de imagem e de proteção de dados.</w:t>
            </w:r>
          </w:p>
        </w:tc>
        <w:tc>
          <w:tcPr>
            <w:tcW w:type="dxa" w:w="2385"/>
          </w:tcPr>
          <w:p>
            <w:pPr>
              <w:spacing w:after="0"/>
              <w:jc w:val="left"/>
            </w:pPr>
            <w:r/>
            <w:r>
              <w:rPr>
                <w:rFonts w:ascii="Calibri" w:hAnsi="Calibri"/>
                <w:b w:val="0"/>
                <w:color w:val="1A1A1A"/>
                <w:sz w:val="24"/>
              </w:rPr>
              <w:t>POP-N5-12; documento 18</w:t>
            </w:r>
          </w:p>
        </w:tc>
        <w:tc>
          <w:tcPr>
            <w:tcW w:type="dxa" w:w="3390"/>
          </w:tcPr>
          <w:p>
            <w:pPr>
              <w:spacing w:after="0"/>
              <w:jc w:val="left"/>
            </w:pPr>
            <w:r/>
            <w:r>
              <w:rPr>
                <w:rFonts w:ascii="Calibri" w:hAnsi="Calibri"/>
                <w:b w:val="0"/>
                <w:color w:val="1A1A1A"/>
                <w:sz w:val="24"/>
              </w:rPr>
              <w:t>Consentimentos separados em uso e controle de acesso ativo.</w:t>
            </w:r>
          </w:p>
        </w:tc>
      </w:tr>
    </w:tbl>
    <w:p>
      <w:r>
        <w:br w:type="page"/>
      </w:r>
    </w:p>
    <w:p>
      <w:pPr>
        <w:keepNext/>
        <w:spacing w:before="360" w:after="160"/>
        <w:jc w:val="left"/>
        <w:pBdr>
          <w:bottom w:val="single" w:sz="8" w:space="4" w:color="143C64"/>
        </w:pBdr>
      </w:pPr>
      <w:r>
        <w:rPr>
          <w:rFonts w:ascii="Calibri" w:hAnsi="Calibri"/>
          <w:b/>
          <w:color w:val="143C64"/>
          <w:sz w:val="30"/>
        </w:rPr>
        <w:t>5  Autoavaliação do serviço</w:t>
      </w:r>
    </w:p>
    <w:p>
      <w:pPr>
        <w:spacing w:after="120"/>
        <w:jc w:val="both"/>
      </w:pPr>
      <w:r>
        <w:rPr>
          <w:rFonts w:ascii="Calibri" w:hAnsi="Calibri"/>
          <w:b w:val="0"/>
          <w:i w:val="0"/>
          <w:color w:val="1A1A1A"/>
          <w:sz w:val="24"/>
        </w:rPr>
        <w:t>Instrumento de verificação para o Responsável Técnico aplicar ao fim dos noventa dias e depois semestralmente. Item não atendido é plano de ação, não é falha moral.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900"/>
        <w:gridCol w:w="2197"/>
        <w:gridCol w:w="1975"/>
      </w:tblGrid>
      <w:tr>
        <w:trPr>
          <w:cantSplit/>
          <w:tblHeader/>
        </w:trPr>
        <w:tc>
          <w:tcPr>
            <w:tcW w:type="dxa" w:w="4900"/>
            <w:shd w:val="clear" w:color="auto" w:fill="143C64"/>
          </w:tcPr>
          <w:p>
            <w:pPr>
              <w:spacing w:after="0"/>
              <w:jc w:val="left"/>
            </w:pPr>
            <w:r/>
            <w:r>
              <w:rPr>
                <w:rFonts w:ascii="Calibri" w:hAnsi="Calibri"/>
                <w:b/>
                <w:color w:val="FFFFFF"/>
                <w:sz w:val="24"/>
              </w:rPr>
              <w:t>Item</w:t>
            </w:r>
          </w:p>
        </w:tc>
        <w:tc>
          <w:tcPr>
            <w:tcW w:type="dxa" w:w="2197"/>
            <w:shd w:val="clear" w:color="auto" w:fill="143C64"/>
          </w:tcPr>
          <w:p>
            <w:pPr>
              <w:spacing w:after="0"/>
              <w:jc w:val="left"/>
            </w:pPr>
            <w:r/>
            <w:r>
              <w:rPr>
                <w:rFonts w:ascii="Calibri" w:hAnsi="Calibri"/>
                <w:b/>
                <w:color w:val="FFFFFF"/>
                <w:sz w:val="24"/>
              </w:rPr>
              <w:t>Atendido</w:t>
            </w:r>
          </w:p>
        </w:tc>
        <w:tc>
          <w:tcPr>
            <w:tcW w:type="dxa" w:w="1975"/>
            <w:shd w:val="clear" w:color="auto" w:fill="143C64"/>
          </w:tcPr>
          <w:p>
            <w:pPr>
              <w:spacing w:after="0"/>
              <w:jc w:val="left"/>
            </w:pPr>
            <w:r/>
            <w:r>
              <w:rPr>
                <w:rFonts w:ascii="Calibri" w:hAnsi="Calibri"/>
                <w:b/>
                <w:color w:val="FFFFFF"/>
                <w:sz w:val="24"/>
              </w:rPr>
              <w:t>Plano de ação e prazo</w:t>
            </w:r>
          </w:p>
        </w:tc>
      </w:tr>
      <w:tr>
        <w:trPr>
          <w:cantSplit/>
        </w:trPr>
        <w:tc>
          <w:tcPr>
            <w:tcW w:type="dxa" w:w="4900"/>
          </w:tcPr>
          <w:p>
            <w:pPr>
              <w:spacing w:after="0"/>
              <w:jc w:val="left"/>
            </w:pPr>
            <w:r/>
            <w:r>
              <w:rPr>
                <w:rFonts w:ascii="Calibri" w:hAnsi="Calibri"/>
                <w:b w:val="0"/>
                <w:color w:val="1A1A1A"/>
                <w:sz w:val="24"/>
              </w:rPr>
              <w:t>Existe checklist preenchido para todos os procedimentos da última semana.</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A pausa de segurança é realizada em voz alta e a equipe sabe descrevê-la.</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As rotas de encaminhamento estão escritas, afixadas e com contatos testados.</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O kit de resposta foi conferido no último mês, com registro assinado.</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Todo paciente sai com orientação escrita e canal de contato.</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Os POPs de intercorrência estão aprovados no serviço e a equipe sabe onde estão.</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Os cartões de consulta rápida estão afixados no ambiente do procedimento.</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Existe registro dos três horários em toda ocorrência do período.</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O protocolo terapêutico de intercorrência vascular tem fonte declarada e data.</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Produto, lote, região e parâmetros constam de todos os prontuários auditados.</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Cada equipamento em uso tem dossiê com regularização consultada e datada.</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Existe responsável designado para notificação e o fluxo está escrito.</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Nenhuma tecnologia foi adquirida no período sem parecer da Matriz.</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r>
        <w:trPr>
          <w:cantSplit/>
        </w:trPr>
        <w:tc>
          <w:tcPr>
            <w:tcW w:type="dxa" w:w="4900"/>
            <w:shd w:val="clear" w:color="auto" w:fill="F2F5F8"/>
          </w:tcPr>
          <w:p>
            <w:pPr>
              <w:spacing w:after="0"/>
              <w:jc w:val="left"/>
            </w:pPr>
            <w:r/>
            <w:r>
              <w:rPr>
                <w:rFonts w:ascii="Calibri" w:hAnsi="Calibri"/>
                <w:b w:val="0"/>
                <w:color w:val="1A1A1A"/>
                <w:sz w:val="24"/>
              </w:rPr>
              <w:t>Consentimento de tratamento e autorização de imagem estão separados.</w:t>
            </w:r>
          </w:p>
        </w:tc>
        <w:tc>
          <w:tcPr>
            <w:tcW w:type="dxa" w:w="2197"/>
            <w:shd w:val="clear" w:color="auto" w:fill="F2F5F8"/>
          </w:tcPr>
          <w:p>
            <w:pPr>
              <w:spacing w:after="0"/>
              <w:jc w:val="left"/>
            </w:pPr>
            <w:r/>
            <w:r>
              <w:rPr>
                <w:rFonts w:ascii="Calibri" w:hAnsi="Calibri"/>
                <w:b w:val="0"/>
                <w:color w:val="1A1A1A"/>
                <w:sz w:val="24"/>
              </w:rPr>
              <w:t>(   ) sim   (   ) não</w:t>
            </w:r>
          </w:p>
        </w:tc>
        <w:tc>
          <w:tcPr>
            <w:tcW w:type="dxa" w:w="1975"/>
            <w:shd w:val="clear" w:color="auto" w:fill="F2F5F8"/>
          </w:tcPr>
          <w:p>
            <w:pPr>
              <w:spacing w:after="0"/>
              <w:jc w:val="left"/>
            </w:pPr>
            <w:r/>
            <w:r>
              <w:rPr>
                <w:rFonts w:ascii="Calibri" w:hAnsi="Calibri"/>
                <w:b w:val="0"/>
                <w:color w:val="1A1A1A"/>
                <w:sz w:val="24"/>
              </w:rPr>
              <w:t>___</w:t>
            </w:r>
          </w:p>
        </w:tc>
      </w:tr>
      <w:tr>
        <w:trPr>
          <w:cantSplit/>
        </w:trPr>
        <w:tc>
          <w:tcPr>
            <w:tcW w:type="dxa" w:w="4900"/>
          </w:tcPr>
          <w:p>
            <w:pPr>
              <w:spacing w:after="0"/>
              <w:jc w:val="left"/>
            </w:pPr>
            <w:r/>
            <w:r>
              <w:rPr>
                <w:rFonts w:ascii="Calibri" w:hAnsi="Calibri"/>
                <w:b w:val="0"/>
                <w:color w:val="1A1A1A"/>
                <w:sz w:val="24"/>
              </w:rPr>
              <w:t>O plano de capacitação do ano está definido e os treinamentos foram registrados.</w:t>
            </w:r>
          </w:p>
        </w:tc>
        <w:tc>
          <w:tcPr>
            <w:tcW w:type="dxa" w:w="2197"/>
          </w:tcPr>
          <w:p>
            <w:pPr>
              <w:spacing w:after="0"/>
              <w:jc w:val="left"/>
            </w:pPr>
            <w:r/>
            <w:r>
              <w:rPr>
                <w:rFonts w:ascii="Calibri" w:hAnsi="Calibri"/>
                <w:b w:val="0"/>
                <w:color w:val="1A1A1A"/>
                <w:sz w:val="24"/>
              </w:rPr>
              <w:t>(   ) sim   (   ) não</w:t>
            </w:r>
          </w:p>
        </w:tc>
        <w:tc>
          <w:tcPr>
            <w:tcW w:type="dxa" w:w="1975"/>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6  Erros de implantação mais prováveis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62"/>
        <w:gridCol w:w="3406"/>
        <w:gridCol w:w="3104"/>
      </w:tblGrid>
      <w:tr>
        <w:trPr>
          <w:cantSplit/>
          <w:tblHeader/>
        </w:trPr>
        <w:tc>
          <w:tcPr>
            <w:tcW w:type="dxa" w:w="2562"/>
            <w:shd w:val="clear" w:color="auto" w:fill="143C64"/>
          </w:tcPr>
          <w:p>
            <w:pPr>
              <w:spacing w:after="0"/>
              <w:jc w:val="left"/>
            </w:pPr>
            <w:r/>
            <w:r>
              <w:rPr>
                <w:rFonts w:ascii="Calibri" w:hAnsi="Calibri"/>
                <w:b/>
                <w:color w:val="FFFFFF"/>
                <w:sz w:val="24"/>
              </w:rPr>
              <w:t>Erro</w:t>
            </w:r>
          </w:p>
        </w:tc>
        <w:tc>
          <w:tcPr>
            <w:tcW w:type="dxa" w:w="3406"/>
            <w:shd w:val="clear" w:color="auto" w:fill="143C64"/>
          </w:tcPr>
          <w:p>
            <w:pPr>
              <w:spacing w:after="0"/>
              <w:jc w:val="left"/>
            </w:pPr>
            <w:r/>
            <w:r>
              <w:rPr>
                <w:rFonts w:ascii="Calibri" w:hAnsi="Calibri"/>
                <w:b/>
                <w:color w:val="FFFFFF"/>
                <w:sz w:val="24"/>
              </w:rPr>
              <w:t>Como se manifesta</w:t>
            </w:r>
          </w:p>
        </w:tc>
        <w:tc>
          <w:tcPr>
            <w:tcW w:type="dxa" w:w="3104"/>
            <w:shd w:val="clear" w:color="auto" w:fill="143C64"/>
          </w:tcPr>
          <w:p>
            <w:pPr>
              <w:spacing w:after="0"/>
              <w:jc w:val="left"/>
            </w:pPr>
            <w:r/>
            <w:r>
              <w:rPr>
                <w:rFonts w:ascii="Calibri" w:hAnsi="Calibri"/>
                <w:b/>
                <w:color w:val="FFFFFF"/>
                <w:sz w:val="24"/>
              </w:rPr>
              <w:t>Correção</w:t>
            </w:r>
          </w:p>
        </w:tc>
      </w:tr>
      <w:tr>
        <w:trPr>
          <w:cantSplit/>
        </w:trPr>
        <w:tc>
          <w:tcPr>
            <w:tcW w:type="dxa" w:w="2562"/>
          </w:tcPr>
          <w:p>
            <w:pPr>
              <w:spacing w:after="0"/>
              <w:jc w:val="left"/>
            </w:pPr>
            <w:r/>
            <w:r>
              <w:rPr>
                <w:rFonts w:ascii="Calibri" w:hAnsi="Calibri"/>
                <w:b w:val="0"/>
                <w:color w:val="1A1A1A"/>
                <w:sz w:val="24"/>
              </w:rPr>
              <w:t>Adotar tudo ao mesmo tempo</w:t>
            </w:r>
          </w:p>
        </w:tc>
        <w:tc>
          <w:tcPr>
            <w:tcW w:type="dxa" w:w="3406"/>
          </w:tcPr>
          <w:p>
            <w:pPr>
              <w:spacing w:after="0"/>
              <w:jc w:val="left"/>
            </w:pPr>
            <w:r/>
            <w:r>
              <w:rPr>
                <w:rFonts w:ascii="Calibri" w:hAnsi="Calibri"/>
                <w:b w:val="0"/>
                <w:color w:val="1A1A1A"/>
                <w:sz w:val="24"/>
              </w:rPr>
              <w:t>A equipe abandona o conjunto na terceira semana.</w:t>
            </w:r>
          </w:p>
        </w:tc>
        <w:tc>
          <w:tcPr>
            <w:tcW w:type="dxa" w:w="3104"/>
          </w:tcPr>
          <w:p>
            <w:pPr>
              <w:spacing w:after="0"/>
              <w:jc w:val="left"/>
            </w:pPr>
            <w:r/>
            <w:r>
              <w:rPr>
                <w:rFonts w:ascii="Calibri" w:hAnsi="Calibri"/>
                <w:b w:val="0"/>
                <w:color w:val="1A1A1A"/>
                <w:sz w:val="24"/>
              </w:rPr>
              <w:t>Seguir a ordem das três etapas. Prevenção primeiro.</w:t>
            </w:r>
          </w:p>
        </w:tc>
      </w:tr>
      <w:tr>
        <w:trPr>
          <w:cantSplit/>
        </w:trPr>
        <w:tc>
          <w:tcPr>
            <w:tcW w:type="dxa" w:w="2562"/>
            <w:shd w:val="clear" w:color="auto" w:fill="F2F5F8"/>
          </w:tcPr>
          <w:p>
            <w:pPr>
              <w:spacing w:after="0"/>
              <w:jc w:val="left"/>
            </w:pPr>
            <w:r/>
            <w:r>
              <w:rPr>
                <w:rFonts w:ascii="Calibri" w:hAnsi="Calibri"/>
                <w:b w:val="0"/>
                <w:color w:val="1A1A1A"/>
                <w:sz w:val="24"/>
              </w:rPr>
              <w:t>Preencher checklist depois do procedimento</w:t>
            </w:r>
          </w:p>
        </w:tc>
        <w:tc>
          <w:tcPr>
            <w:tcW w:type="dxa" w:w="3406"/>
            <w:shd w:val="clear" w:color="auto" w:fill="F2F5F8"/>
          </w:tcPr>
          <w:p>
            <w:pPr>
              <w:spacing w:after="0"/>
              <w:jc w:val="left"/>
            </w:pPr>
            <w:r/>
            <w:r>
              <w:rPr>
                <w:rFonts w:ascii="Calibri" w:hAnsi="Calibri"/>
                <w:b w:val="0"/>
                <w:color w:val="1A1A1A"/>
                <w:sz w:val="24"/>
              </w:rPr>
              <w:t>Documento existe, mas não previne nada.</w:t>
            </w:r>
          </w:p>
        </w:tc>
        <w:tc>
          <w:tcPr>
            <w:tcW w:type="dxa" w:w="3104"/>
            <w:shd w:val="clear" w:color="auto" w:fill="F2F5F8"/>
          </w:tcPr>
          <w:p>
            <w:pPr>
              <w:spacing w:after="0"/>
              <w:jc w:val="left"/>
            </w:pPr>
            <w:r/>
            <w:r>
              <w:rPr>
                <w:rFonts w:ascii="Calibri" w:hAnsi="Calibri"/>
                <w:b w:val="0"/>
                <w:color w:val="1A1A1A"/>
                <w:sz w:val="24"/>
              </w:rPr>
              <w:t>Auditar por observação direta, não por conferência de papel.</w:t>
            </w:r>
          </w:p>
        </w:tc>
      </w:tr>
      <w:tr>
        <w:trPr>
          <w:cantSplit/>
        </w:trPr>
        <w:tc>
          <w:tcPr>
            <w:tcW w:type="dxa" w:w="2562"/>
          </w:tcPr>
          <w:p>
            <w:pPr>
              <w:spacing w:after="0"/>
              <w:jc w:val="left"/>
            </w:pPr>
            <w:r/>
            <w:r>
              <w:rPr>
                <w:rFonts w:ascii="Calibri" w:hAnsi="Calibri"/>
                <w:b w:val="0"/>
                <w:color w:val="1A1A1A"/>
                <w:sz w:val="24"/>
              </w:rPr>
              <w:t>Tratar o cartão como se fosse o POP</w:t>
            </w:r>
          </w:p>
        </w:tc>
        <w:tc>
          <w:tcPr>
            <w:tcW w:type="dxa" w:w="3406"/>
          </w:tcPr>
          <w:p>
            <w:pPr>
              <w:spacing w:after="0"/>
              <w:jc w:val="left"/>
            </w:pPr>
            <w:r/>
            <w:r>
              <w:rPr>
                <w:rFonts w:ascii="Calibri" w:hAnsi="Calibri"/>
                <w:b w:val="0"/>
                <w:color w:val="1A1A1A"/>
                <w:sz w:val="24"/>
              </w:rPr>
              <w:t>Conduta empobrecida e sem rastreabilidade.</w:t>
            </w:r>
          </w:p>
        </w:tc>
        <w:tc>
          <w:tcPr>
            <w:tcW w:type="dxa" w:w="3104"/>
          </w:tcPr>
          <w:p>
            <w:pPr>
              <w:spacing w:after="0"/>
              <w:jc w:val="left"/>
            </w:pPr>
            <w:r/>
            <w:r>
              <w:rPr>
                <w:rFonts w:ascii="Calibri" w:hAnsi="Calibri"/>
                <w:b w:val="0"/>
                <w:color w:val="1A1A1A"/>
                <w:sz w:val="24"/>
              </w:rPr>
              <w:t>Manter a referência ao POP no rodapé de cada cartão.</w:t>
            </w:r>
          </w:p>
        </w:tc>
      </w:tr>
      <w:tr>
        <w:trPr>
          <w:cantSplit/>
        </w:trPr>
        <w:tc>
          <w:tcPr>
            <w:tcW w:type="dxa" w:w="2562"/>
            <w:shd w:val="clear" w:color="auto" w:fill="F2F5F8"/>
          </w:tcPr>
          <w:p>
            <w:pPr>
              <w:spacing w:after="0"/>
              <w:jc w:val="left"/>
            </w:pPr>
            <w:r/>
            <w:r>
              <w:rPr>
                <w:rFonts w:ascii="Calibri" w:hAnsi="Calibri"/>
                <w:b w:val="0"/>
                <w:color w:val="1A1A1A"/>
                <w:sz w:val="24"/>
              </w:rPr>
              <w:t>Copiar dose ou parâmetro de outro serviço</w:t>
            </w:r>
          </w:p>
        </w:tc>
        <w:tc>
          <w:tcPr>
            <w:tcW w:type="dxa" w:w="3406"/>
            <w:shd w:val="clear" w:color="auto" w:fill="F2F5F8"/>
          </w:tcPr>
          <w:p>
            <w:pPr>
              <w:spacing w:after="0"/>
              <w:jc w:val="left"/>
            </w:pPr>
            <w:r/>
            <w:r>
              <w:rPr>
                <w:rFonts w:ascii="Calibri" w:hAnsi="Calibri"/>
                <w:b w:val="0"/>
                <w:color w:val="1A1A1A"/>
                <w:sz w:val="24"/>
              </w:rPr>
              <w:t>Protocolo sem sustentação e sem correspondência com o produto em uso.</w:t>
            </w:r>
          </w:p>
        </w:tc>
        <w:tc>
          <w:tcPr>
            <w:tcW w:type="dxa" w:w="3104"/>
            <w:shd w:val="clear" w:color="auto" w:fill="F2F5F8"/>
          </w:tcPr>
          <w:p>
            <w:pPr>
              <w:spacing w:after="0"/>
              <w:jc w:val="left"/>
            </w:pPr>
            <w:r/>
            <w:r>
              <w:rPr>
                <w:rFonts w:ascii="Calibri" w:hAnsi="Calibri"/>
                <w:b w:val="0"/>
                <w:color w:val="1A1A1A"/>
                <w:sz w:val="24"/>
              </w:rPr>
              <w:t>Preencher a partir das instruções de uso do produto adotado, com data.</w:t>
            </w:r>
          </w:p>
        </w:tc>
      </w:tr>
      <w:tr>
        <w:trPr>
          <w:cantSplit/>
        </w:trPr>
        <w:tc>
          <w:tcPr>
            <w:tcW w:type="dxa" w:w="2562"/>
          </w:tcPr>
          <w:p>
            <w:pPr>
              <w:spacing w:after="0"/>
              <w:jc w:val="left"/>
            </w:pPr>
            <w:r/>
            <w:r>
              <w:rPr>
                <w:rFonts w:ascii="Calibri" w:hAnsi="Calibri"/>
                <w:b w:val="0"/>
                <w:color w:val="1A1A1A"/>
                <w:sz w:val="24"/>
              </w:rPr>
              <w:t>Deixar o kit trancado ou fora do ambiente</w:t>
            </w:r>
          </w:p>
        </w:tc>
        <w:tc>
          <w:tcPr>
            <w:tcW w:type="dxa" w:w="3406"/>
          </w:tcPr>
          <w:p>
            <w:pPr>
              <w:spacing w:after="0"/>
              <w:jc w:val="left"/>
            </w:pPr>
            <w:r/>
            <w:r>
              <w:rPr>
                <w:rFonts w:ascii="Calibri" w:hAnsi="Calibri"/>
                <w:b w:val="0"/>
                <w:color w:val="1A1A1A"/>
                <w:sz w:val="24"/>
              </w:rPr>
              <w:t>Recurso existe no papel e não existe na urgência.</w:t>
            </w:r>
          </w:p>
        </w:tc>
        <w:tc>
          <w:tcPr>
            <w:tcW w:type="dxa" w:w="3104"/>
          </w:tcPr>
          <w:p>
            <w:pPr>
              <w:spacing w:after="0"/>
              <w:jc w:val="left"/>
            </w:pPr>
            <w:r/>
            <w:r>
              <w:rPr>
                <w:rFonts w:ascii="Calibri" w:hAnsi="Calibri"/>
                <w:b w:val="0"/>
                <w:color w:val="1A1A1A"/>
                <w:sz w:val="24"/>
              </w:rPr>
              <w:t>Testar o acesso na prática, cronometrando.</w:t>
            </w:r>
          </w:p>
        </w:tc>
      </w:tr>
      <w:tr>
        <w:trPr>
          <w:cantSplit/>
        </w:trPr>
        <w:tc>
          <w:tcPr>
            <w:tcW w:type="dxa" w:w="2562"/>
            <w:shd w:val="clear" w:color="auto" w:fill="F2F5F8"/>
          </w:tcPr>
          <w:p>
            <w:pPr>
              <w:spacing w:after="0"/>
              <w:jc w:val="left"/>
            </w:pPr>
            <w:r/>
            <w:r>
              <w:rPr>
                <w:rFonts w:ascii="Calibri" w:hAnsi="Calibri"/>
                <w:b w:val="0"/>
                <w:color w:val="1A1A1A"/>
                <w:sz w:val="24"/>
              </w:rPr>
              <w:t>Registrar apenas os casos que deram errado</w:t>
            </w:r>
          </w:p>
        </w:tc>
        <w:tc>
          <w:tcPr>
            <w:tcW w:type="dxa" w:w="3406"/>
            <w:shd w:val="clear" w:color="auto" w:fill="F2F5F8"/>
          </w:tcPr>
          <w:p>
            <w:pPr>
              <w:spacing w:after="0"/>
              <w:jc w:val="left"/>
            </w:pPr>
            <w:r/>
            <w:r>
              <w:rPr>
                <w:rFonts w:ascii="Calibri" w:hAnsi="Calibri"/>
                <w:b w:val="0"/>
                <w:color w:val="1A1A1A"/>
                <w:sz w:val="24"/>
              </w:rPr>
              <w:t>Perde-se a base de comparação e a cultura vira punitiva.</w:t>
            </w:r>
          </w:p>
        </w:tc>
        <w:tc>
          <w:tcPr>
            <w:tcW w:type="dxa" w:w="3104"/>
            <w:shd w:val="clear" w:color="auto" w:fill="F2F5F8"/>
          </w:tcPr>
          <w:p>
            <w:pPr>
              <w:spacing w:after="0"/>
              <w:jc w:val="left"/>
            </w:pPr>
            <w:r/>
            <w:r>
              <w:rPr>
                <w:rFonts w:ascii="Calibri" w:hAnsi="Calibri"/>
                <w:b w:val="0"/>
                <w:color w:val="1A1A1A"/>
                <w:sz w:val="24"/>
              </w:rPr>
              <w:t>Registrar processo, não apenas desfecho.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N5-IMP-01 · Guia de Implantação no Serviço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N5-IMP-01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