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POP-N5-T03  Rastreabilidade da sessão e documentação clínica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174"/>
        <w:gridCol w:w="7898"/>
      </w:tblGrid>
      <w:tr>
        <w:trPr>
          <w:cantSplit/>
          <w:tblHeader/>
        </w:trPr>
        <w:tc>
          <w:tcPr>
            <w:tcW w:type="dxa" w:w="1174"/>
            <w:shd w:val="clear" w:color="auto" w:fill="143C64"/>
          </w:tcPr>
          <w:p>
            <w:pPr>
              <w:spacing w:after="0"/>
              <w:jc w:val="left"/>
            </w:pPr>
            <w:r/>
            <w:r>
              <w:rPr>
                <w:rFonts w:ascii="Calibri" w:hAnsi="Calibri"/>
                <w:b/>
                <w:color w:val="FFFFFF"/>
                <w:sz w:val="24"/>
              </w:rPr>
              <w:t>Nº</w:t>
            </w:r>
          </w:p>
        </w:tc>
        <w:tc>
          <w:tcPr>
            <w:tcW w:type="dxa" w:w="7898"/>
            <w:shd w:val="clear" w:color="auto" w:fill="143C64"/>
          </w:tcPr>
          <w:p>
            <w:pPr>
              <w:spacing w:after="0"/>
              <w:jc w:val="left"/>
            </w:pPr>
            <w:r/>
            <w:r>
              <w:rPr>
                <w:rFonts w:ascii="Calibri" w:hAnsi="Calibri"/>
                <w:b/>
                <w:color w:val="FFFFFF"/>
                <w:sz w:val="24"/>
              </w:rPr>
              <w:t>Passo operacional</w:t>
            </w:r>
          </w:p>
        </w:tc>
      </w:tr>
      <w:tr>
        <w:trPr>
          <w:cantSplit/>
        </w:trPr>
        <w:tc>
          <w:tcPr>
            <w:tcW w:type="dxa" w:w="1174"/>
          </w:tcPr>
          <w:p>
            <w:pPr>
              <w:spacing w:after="0"/>
              <w:jc w:val="left"/>
            </w:pPr>
            <w:r/>
            <w:r>
              <w:rPr>
                <w:rFonts w:ascii="Calibri" w:hAnsi="Calibri"/>
                <w:b w:val="0"/>
                <w:color w:val="1A1A1A"/>
                <w:sz w:val="24"/>
              </w:rPr>
              <w:t>1</w:t>
            </w:r>
          </w:p>
        </w:tc>
        <w:tc>
          <w:tcPr>
            <w:tcW w:type="dxa" w:w="7898"/>
          </w:tcPr>
          <w:p>
            <w:pPr>
              <w:spacing w:after="0"/>
              <w:jc w:val="left"/>
            </w:pPr>
            <w:r/>
            <w:r>
              <w:rPr>
                <w:rFonts w:ascii="Calibri" w:hAnsi="Calibri"/>
                <w:b w:val="0"/>
                <w:color w:val="1A1A1A"/>
                <w:sz w:val="24"/>
              </w:rPr>
              <w:t>Registrar indicação, avaliação clínica, consentimento e tecnologia empregada.</w:t>
            </w:r>
          </w:p>
        </w:tc>
      </w:tr>
      <w:tr>
        <w:trPr>
          <w:cantSplit/>
        </w:trPr>
        <w:tc>
          <w:tcPr>
            <w:tcW w:type="dxa" w:w="1174"/>
            <w:shd w:val="clear" w:color="auto" w:fill="F2F5F8"/>
          </w:tcPr>
          <w:p>
            <w:pPr>
              <w:spacing w:after="0"/>
              <w:jc w:val="left"/>
            </w:pPr>
            <w:r/>
            <w:r>
              <w:rPr>
                <w:rFonts w:ascii="Calibri" w:hAnsi="Calibri"/>
                <w:b w:val="0"/>
                <w:color w:val="1A1A1A"/>
                <w:sz w:val="24"/>
              </w:rPr>
              <w:t>2</w:t>
            </w:r>
          </w:p>
        </w:tc>
        <w:tc>
          <w:tcPr>
            <w:tcW w:type="dxa" w:w="7898"/>
            <w:shd w:val="clear" w:color="auto" w:fill="F2F5F8"/>
          </w:tcPr>
          <w:p>
            <w:pPr>
              <w:spacing w:after="0"/>
              <w:jc w:val="left"/>
            </w:pPr>
            <w:r/>
            <w:r>
              <w:rPr>
                <w:rFonts w:ascii="Calibri" w:hAnsi="Calibri"/>
                <w:b w:val="0"/>
                <w:color w:val="1A1A1A"/>
                <w:sz w:val="24"/>
              </w:rPr>
              <w:t>Registrar, quando aplicável, fabricante e modelo, número de série ou identificador, consumíveis, lote, validade e parâmetros efetivamente utilizados.</w:t>
            </w:r>
          </w:p>
        </w:tc>
      </w:tr>
      <w:tr>
        <w:trPr>
          <w:cantSplit/>
        </w:trPr>
        <w:tc>
          <w:tcPr>
            <w:tcW w:type="dxa" w:w="1174"/>
          </w:tcPr>
          <w:p>
            <w:pPr>
              <w:spacing w:after="0"/>
              <w:jc w:val="left"/>
            </w:pPr>
            <w:r/>
            <w:r>
              <w:rPr>
                <w:rFonts w:ascii="Calibri" w:hAnsi="Calibri"/>
                <w:b w:val="0"/>
                <w:color w:val="1A1A1A"/>
                <w:sz w:val="24"/>
              </w:rPr>
              <w:t>3</w:t>
            </w:r>
          </w:p>
        </w:tc>
        <w:tc>
          <w:tcPr>
            <w:tcW w:type="dxa" w:w="7898"/>
          </w:tcPr>
          <w:p>
            <w:pPr>
              <w:spacing w:after="0"/>
              <w:jc w:val="left"/>
            </w:pPr>
            <w:r/>
            <w:r>
              <w:rPr>
                <w:rFonts w:ascii="Calibri" w:hAnsi="Calibri"/>
                <w:b w:val="0"/>
                <w:color w:val="1A1A1A"/>
                <w:sz w:val="24"/>
              </w:rPr>
              <w:t>Registrar profissional executor, data, horário, área tratada, intercorrências e medidas adotadas.</w:t>
            </w:r>
          </w:p>
        </w:tc>
      </w:tr>
      <w:tr>
        <w:trPr>
          <w:cantSplit/>
        </w:trPr>
        <w:tc>
          <w:tcPr>
            <w:tcW w:type="dxa" w:w="1174"/>
            <w:shd w:val="clear" w:color="auto" w:fill="F2F5F8"/>
          </w:tcPr>
          <w:p>
            <w:pPr>
              <w:spacing w:after="0"/>
              <w:jc w:val="left"/>
            </w:pPr>
            <w:r/>
            <w:r>
              <w:rPr>
                <w:rFonts w:ascii="Calibri" w:hAnsi="Calibri"/>
                <w:b w:val="0"/>
                <w:color w:val="1A1A1A"/>
                <w:sz w:val="24"/>
              </w:rPr>
              <w:t>4</w:t>
            </w:r>
          </w:p>
        </w:tc>
        <w:tc>
          <w:tcPr>
            <w:tcW w:type="dxa" w:w="7898"/>
            <w:shd w:val="clear" w:color="auto" w:fill="F2F5F8"/>
          </w:tcPr>
          <w:p>
            <w:pPr>
              <w:spacing w:after="0"/>
              <w:jc w:val="left"/>
            </w:pPr>
            <w:r/>
            <w:r>
              <w:rPr>
                <w:rFonts w:ascii="Calibri" w:hAnsi="Calibri"/>
                <w:b w:val="0"/>
                <w:color w:val="1A1A1A"/>
                <w:sz w:val="24"/>
              </w:rPr>
              <w:t>Preservar imagens clínicas e dados de saúde sob regras de confidencialidade, finalidade e controle de acesso compatíveis com a Lei nº 13.709/2018 e com a Lei nº 15.378/2026.</w:t>
            </w:r>
          </w:p>
        </w:tc>
      </w:tr>
      <w:tr>
        <w:trPr>
          <w:cantSplit/>
        </w:trPr>
        <w:tc>
          <w:tcPr>
            <w:tcW w:type="dxa" w:w="1174"/>
          </w:tcPr>
          <w:p>
            <w:pPr>
              <w:spacing w:after="0"/>
              <w:jc w:val="left"/>
            </w:pPr>
            <w:r/>
            <w:r>
              <w:rPr>
                <w:rFonts w:ascii="Calibri" w:hAnsi="Calibri"/>
                <w:b w:val="0"/>
                <w:color w:val="1A1A1A"/>
                <w:sz w:val="24"/>
              </w:rPr>
              <w:t>5</w:t>
            </w:r>
          </w:p>
        </w:tc>
        <w:tc>
          <w:tcPr>
            <w:tcW w:type="dxa" w:w="7898"/>
          </w:tcPr>
          <w:p>
            <w:pPr>
              <w:spacing w:after="0"/>
              <w:jc w:val="left"/>
            </w:pPr>
            <w:r/>
            <w:r>
              <w:rPr>
                <w:rFonts w:ascii="Calibri" w:hAnsi="Calibri"/>
                <w:b w:val="0"/>
                <w:color w:val="1A1A1A"/>
                <w:sz w:val="24"/>
              </w:rPr>
              <w:t>Não substituir o prontuário por fotografia, aplicativo, mensagem instantânea ou registro comercial do equipamento.</w:t>
            </w:r>
          </w:p>
        </w:tc>
      </w:tr>
      <w:tr>
        <w:trPr>
          <w:cantSplit/>
        </w:trPr>
        <w:tc>
          <w:tcPr>
            <w:tcW w:type="dxa" w:w="1174"/>
            <w:shd w:val="clear" w:color="auto" w:fill="F2F5F8"/>
          </w:tcPr>
          <w:p>
            <w:pPr>
              <w:spacing w:after="0"/>
              <w:jc w:val="left"/>
            </w:pPr>
            <w:r/>
            <w:r>
              <w:rPr>
                <w:rFonts w:ascii="Calibri" w:hAnsi="Calibri"/>
                <w:b w:val="0"/>
                <w:color w:val="1A1A1A"/>
                <w:sz w:val="24"/>
              </w:rPr>
              <w:t>6</w:t>
            </w:r>
          </w:p>
        </w:tc>
        <w:tc>
          <w:tcPr>
            <w:tcW w:type="dxa" w:w="7898"/>
            <w:shd w:val="clear" w:color="auto" w:fill="F2F5F8"/>
          </w:tcPr>
          <w:p>
            <w:pPr>
              <w:spacing w:after="0"/>
              <w:jc w:val="left"/>
            </w:pPr>
            <w:r/>
            <w:r>
              <w:rPr>
                <w:rFonts w:ascii="Calibri" w:hAnsi="Calibri"/>
                <w:b w:val="0"/>
                <w:color w:val="1A1A1A"/>
                <w:sz w:val="24"/>
              </w:rPr>
              <w:t>Permitir a reconstrução do procedimento por terceiro revisor autorizado, sem depender da memória do operador.</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POP-N5-T03 · Rastreabilidade da sessão e documentação clínica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POP-N5-T03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