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PRODUTO DA META M11</w:t>
      </w:r>
    </w:p>
    <w:p>
      <w:pPr>
        <w:spacing w:after="160"/>
        <w:jc w:val="center"/>
      </w:pPr>
      <w:r>
        <w:rPr>
          <w:rFonts w:ascii="Calibri" w:hAnsi="Calibri"/>
          <w:b/>
          <w:color w:val="143C64"/>
          <w:sz w:val="48"/>
        </w:rPr>
        <w:t>Plano do Fórum de Tecnologias Emergentes</w:t>
      </w:r>
    </w:p>
    <w:p>
      <w:pPr>
        <w:spacing w:after="720"/>
        <w:jc w:val="center"/>
      </w:pPr>
      <w:r>
        <w:rPr>
          <w:rFonts w:ascii="Calibri" w:hAnsi="Calibri"/>
          <w:b w:val="0"/>
          <w:i w:val="0"/>
          <w:color w:val="444A52"/>
          <w:sz w:val="26"/>
        </w:rPr>
        <w:t>Concepção, programa, produção, roteiro de condução, materiais e ata de entrega do evento de encerramento do ciclo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N5-FOR-01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1.0</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26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Submetido à deliberação do colegiado e à Diretoria Executiva</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Concepção</w:t>
      </w:r>
    </w:p>
    <w:p>
      <w:pPr>
        <w:spacing w:after="120"/>
        <w:jc w:val="both"/>
      </w:pPr>
      <w:r>
        <w:rPr>
          <w:rFonts w:ascii="Calibri" w:hAnsi="Calibri"/>
          <w:b w:val="0"/>
          <w:i w:val="0"/>
          <w:color w:val="1A1A1A"/>
          <w:sz w:val="24"/>
        </w:rPr>
        <w:t>O Fórum encerra o ciclo e cumpre duas funções distintas, que não devem se confundir. A primeira é institucional: a entrega formal dos produtos, com registro em ata. A segunda é científica e educativa: apresentar ao inscrito o conteúdo produzido, de modo que ele saia com instrumentos aplicáveis, e não apenas com informação.</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Critério de sucesso do evento</w:t>
            </w:r>
          </w:p>
          <w:p>
            <w:pPr>
              <w:spacing w:after="0"/>
              <w:jc w:val="both"/>
            </w:pPr>
            <w:r>
              <w:rPr>
                <w:rFonts w:ascii="Calibri" w:hAnsi="Calibri"/>
                <w:color w:val="1A1A1A"/>
                <w:sz w:val="24"/>
              </w:rPr>
              <w:t>O Fórum não terá sido bem-sucedido se o participante sair apenas informado. Terá sido bem-sucedido se sair com o checklist, os cartões de consulta rápida e o guia de implantação, sabendo o que fazer com eles na segunda-feira seguinte. O evento é instrumento de conversão do pacote em prática, e a métrica principal deve refletir isso.</w:t>
            </w:r>
          </w:p>
        </w:tc>
      </w:tr>
    </w:tbl>
    <w:p>
      <w:pPr>
        <w:spacing w:after="80"/>
      </w:pP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5498"/>
      </w:tblGrid>
      <w:tr>
        <w:trPr>
          <w:cantSplit/>
          <w:tblHeader/>
        </w:trPr>
        <w:tc>
          <w:tcPr>
            <w:tcW w:type="dxa" w:w="3574"/>
            <w:shd w:val="clear" w:color="auto" w:fill="143C64"/>
          </w:tcPr>
          <w:p>
            <w:pPr>
              <w:spacing w:after="0"/>
              <w:jc w:val="left"/>
            </w:pPr>
            <w:r/>
            <w:r>
              <w:rPr>
                <w:rFonts w:ascii="Calibri" w:hAnsi="Calibri"/>
                <w:b/>
                <w:color w:val="FFFFFF"/>
                <w:sz w:val="24"/>
              </w:rPr>
              <w:t>Categoria</w:t>
            </w:r>
          </w:p>
        </w:tc>
        <w:tc>
          <w:tcPr>
            <w:tcW w:type="dxa" w:w="5498"/>
            <w:shd w:val="clear" w:color="auto" w:fill="143C64"/>
          </w:tcPr>
          <w:p>
            <w:pPr>
              <w:spacing w:after="0"/>
              <w:jc w:val="left"/>
            </w:pPr>
            <w:r/>
            <w:r>
              <w:rPr>
                <w:rFonts w:ascii="Calibri" w:hAnsi="Calibri"/>
                <w:b/>
                <w:color w:val="FFFFFF"/>
                <w:sz w:val="24"/>
              </w:rPr>
              <w:t>Definição</w:t>
            </w:r>
          </w:p>
        </w:tc>
      </w:tr>
      <w:tr>
        <w:trPr>
          <w:cantSplit/>
        </w:trPr>
        <w:tc>
          <w:tcPr>
            <w:tcW w:type="dxa" w:w="3574"/>
          </w:tcPr>
          <w:p>
            <w:pPr>
              <w:spacing w:after="0"/>
              <w:jc w:val="left"/>
            </w:pPr>
            <w:r/>
            <w:r>
              <w:rPr>
                <w:rFonts w:ascii="Calibri" w:hAnsi="Calibri"/>
                <w:b/>
                <w:color w:val="1A1A1A"/>
                <w:sz w:val="24"/>
              </w:rPr>
              <w:t>EXIGÊNCIA NORMATIVA</w:t>
            </w:r>
          </w:p>
        </w:tc>
        <w:tc>
          <w:tcPr>
            <w:tcW w:type="dxa" w:w="5498"/>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574"/>
            <w:shd w:val="clear" w:color="auto" w:fill="F2F5F8"/>
          </w:tcPr>
          <w:p>
            <w:pPr>
              <w:spacing w:after="0"/>
              <w:jc w:val="left"/>
            </w:pPr>
            <w:r/>
            <w:r>
              <w:rPr>
                <w:rFonts w:ascii="Calibri" w:hAnsi="Calibri"/>
                <w:b/>
                <w:color w:val="1A1A1A"/>
                <w:sz w:val="24"/>
              </w:rPr>
              <w:t>EVIDÊNCIA CIENTÍFICA</w:t>
            </w:r>
          </w:p>
        </w:tc>
        <w:tc>
          <w:tcPr>
            <w:tcW w:type="dxa" w:w="5498"/>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574"/>
          </w:tcPr>
          <w:p>
            <w:pPr>
              <w:spacing w:after="0"/>
              <w:jc w:val="left"/>
            </w:pPr>
            <w:r/>
            <w:r>
              <w:rPr>
                <w:rFonts w:ascii="Calibri" w:hAnsi="Calibri"/>
                <w:b/>
                <w:color w:val="1A1A1A"/>
                <w:sz w:val="24"/>
              </w:rPr>
              <w:t>RECOMENDAÇÃO TÉCNICA</w:t>
            </w:r>
          </w:p>
        </w:tc>
        <w:tc>
          <w:tcPr>
            <w:tcW w:type="dxa" w:w="5498"/>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574"/>
            <w:shd w:val="clear" w:color="auto" w:fill="F2F5F8"/>
          </w:tcPr>
          <w:p>
            <w:pPr>
              <w:spacing w:after="0"/>
              <w:jc w:val="left"/>
            </w:pPr>
            <w:r/>
            <w:r>
              <w:rPr>
                <w:rFonts w:ascii="Calibri" w:hAnsi="Calibri"/>
                <w:b/>
                <w:color w:val="1A1A1A"/>
                <w:sz w:val="24"/>
              </w:rPr>
              <w:t>PENDÊNCIA INSTITUCIONAL</w:t>
            </w:r>
          </w:p>
        </w:tc>
        <w:tc>
          <w:tcPr>
            <w:tcW w:type="dxa" w:w="5498"/>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Ficha técnica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720"/>
        <w:gridCol w:w="6352"/>
      </w:tblGrid>
      <w:tr>
        <w:trPr>
          <w:cantSplit/>
          <w:tblHeader/>
        </w:trPr>
        <w:tc>
          <w:tcPr>
            <w:tcW w:type="dxa" w:w="2720"/>
            <w:shd w:val="clear" w:color="auto" w:fill="143C64"/>
          </w:tcPr>
          <w:p>
            <w:pPr>
              <w:spacing w:after="0"/>
              <w:jc w:val="left"/>
            </w:pPr>
            <w:r/>
            <w:r>
              <w:rPr>
                <w:rFonts w:ascii="Calibri" w:hAnsi="Calibri"/>
                <w:b/>
                <w:color w:val="FFFFFF"/>
                <w:sz w:val="24"/>
              </w:rPr>
              <w:t>Campo</w:t>
            </w:r>
          </w:p>
        </w:tc>
        <w:tc>
          <w:tcPr>
            <w:tcW w:type="dxa" w:w="6352"/>
            <w:shd w:val="clear" w:color="auto" w:fill="143C64"/>
          </w:tcPr>
          <w:p>
            <w:pPr>
              <w:spacing w:after="0"/>
              <w:jc w:val="left"/>
            </w:pPr>
            <w:r/>
            <w:r>
              <w:rPr>
                <w:rFonts w:ascii="Calibri" w:hAnsi="Calibri"/>
                <w:b/>
                <w:color w:val="FFFFFF"/>
                <w:sz w:val="24"/>
              </w:rPr>
              <w:t>Definição</w:t>
            </w:r>
          </w:p>
        </w:tc>
      </w:tr>
      <w:tr>
        <w:trPr>
          <w:cantSplit/>
        </w:trPr>
        <w:tc>
          <w:tcPr>
            <w:tcW w:type="dxa" w:w="2720"/>
          </w:tcPr>
          <w:p>
            <w:pPr>
              <w:spacing w:after="0"/>
              <w:jc w:val="left"/>
            </w:pPr>
            <w:r/>
            <w:r>
              <w:rPr>
                <w:rFonts w:ascii="Calibri" w:hAnsi="Calibri"/>
                <w:b/>
                <w:color w:val="1A1A1A"/>
                <w:sz w:val="24"/>
              </w:rPr>
              <w:t>Nome</w:t>
            </w:r>
          </w:p>
        </w:tc>
        <w:tc>
          <w:tcPr>
            <w:tcW w:type="dxa" w:w="6352"/>
          </w:tcPr>
          <w:p>
            <w:pPr>
              <w:spacing w:after="0"/>
              <w:jc w:val="left"/>
            </w:pPr>
            <w:r/>
            <w:r>
              <w:rPr>
                <w:rFonts w:ascii="Calibri" w:hAnsi="Calibri"/>
                <w:b w:val="0"/>
                <w:color w:val="1A1A1A"/>
                <w:sz w:val="24"/>
              </w:rPr>
              <w:t>Fórum de Tecnologias Emergentes em Harmonização Orofacial</w:t>
            </w:r>
          </w:p>
        </w:tc>
      </w:tr>
      <w:tr>
        <w:trPr>
          <w:cantSplit/>
        </w:trPr>
        <w:tc>
          <w:tcPr>
            <w:tcW w:type="dxa" w:w="2720"/>
            <w:shd w:val="clear" w:color="auto" w:fill="F2F5F8"/>
          </w:tcPr>
          <w:p>
            <w:pPr>
              <w:spacing w:after="0"/>
              <w:jc w:val="left"/>
            </w:pPr>
            <w:r/>
            <w:r>
              <w:rPr>
                <w:rFonts w:ascii="Calibri" w:hAnsi="Calibri"/>
                <w:b/>
                <w:color w:val="1A1A1A"/>
                <w:sz w:val="24"/>
              </w:rPr>
              <w:t>Realização</w:t>
            </w:r>
          </w:p>
        </w:tc>
        <w:tc>
          <w:tcPr>
            <w:tcW w:type="dxa" w:w="6352"/>
            <w:shd w:val="clear" w:color="auto" w:fill="F2F5F8"/>
          </w:tcPr>
          <w:p>
            <w:pPr>
              <w:spacing w:after="0"/>
              <w:jc w:val="left"/>
            </w:pPr>
            <w:r/>
            <w:r>
              <w:rPr>
                <w:rFonts w:ascii="Calibri" w:hAnsi="Calibri"/>
                <w:b w:val="0"/>
                <w:color w:val="1A1A1A"/>
                <w:sz w:val="24"/>
              </w:rPr>
              <w:t>Câmara Técnica de Harmonização Orofacial do CRO-MG, com o Núcleo 5 na coordenação técnica e articulação com o Núcleo 4 e com o Núcleo 2</w:t>
            </w:r>
          </w:p>
        </w:tc>
      </w:tr>
      <w:tr>
        <w:trPr>
          <w:cantSplit/>
        </w:trPr>
        <w:tc>
          <w:tcPr>
            <w:tcW w:type="dxa" w:w="2720"/>
          </w:tcPr>
          <w:p>
            <w:pPr>
              <w:spacing w:after="0"/>
              <w:jc w:val="left"/>
            </w:pPr>
            <w:r/>
            <w:r>
              <w:rPr>
                <w:rFonts w:ascii="Calibri" w:hAnsi="Calibri"/>
                <w:b/>
                <w:color w:val="1A1A1A"/>
                <w:sz w:val="24"/>
              </w:rPr>
              <w:t>Período</w:t>
            </w:r>
          </w:p>
        </w:tc>
        <w:tc>
          <w:tcPr>
            <w:tcW w:type="dxa" w:w="6352"/>
          </w:tcPr>
          <w:p>
            <w:pPr>
              <w:spacing w:after="0"/>
              <w:jc w:val="left"/>
            </w:pPr>
            <w:r/>
            <w:r>
              <w:rPr>
                <w:rFonts w:ascii="Calibri" w:hAnsi="Calibri"/>
                <w:b w:val="0"/>
                <w:color w:val="1A1A1A"/>
                <w:sz w:val="24"/>
              </w:rPr>
              <w:t>Dezembro de 2026, data a definir em ata</w:t>
            </w:r>
          </w:p>
        </w:tc>
      </w:tr>
      <w:tr>
        <w:trPr>
          <w:cantSplit/>
        </w:trPr>
        <w:tc>
          <w:tcPr>
            <w:tcW w:type="dxa" w:w="2720"/>
            <w:shd w:val="clear" w:color="auto" w:fill="F2F5F8"/>
          </w:tcPr>
          <w:p>
            <w:pPr>
              <w:spacing w:after="0"/>
              <w:jc w:val="left"/>
            </w:pPr>
            <w:r/>
            <w:r>
              <w:rPr>
                <w:rFonts w:ascii="Calibri" w:hAnsi="Calibri"/>
                <w:b/>
                <w:color w:val="1A1A1A"/>
                <w:sz w:val="24"/>
              </w:rPr>
              <w:t>Formato</w:t>
            </w:r>
          </w:p>
        </w:tc>
        <w:tc>
          <w:tcPr>
            <w:tcW w:type="dxa" w:w="6352"/>
            <w:shd w:val="clear" w:color="auto" w:fill="F2F5F8"/>
          </w:tcPr>
          <w:p>
            <w:pPr>
              <w:spacing w:after="0"/>
              <w:jc w:val="left"/>
            </w:pPr>
            <w:r/>
            <w:r>
              <w:rPr>
                <w:rFonts w:ascii="Calibri" w:hAnsi="Calibri"/>
                <w:b w:val="0"/>
                <w:color w:val="1A1A1A"/>
                <w:sz w:val="24"/>
              </w:rPr>
              <w:t>Presencial com transmissão, ou híbrido, a definir</w:t>
            </w:r>
          </w:p>
        </w:tc>
      </w:tr>
      <w:tr>
        <w:trPr>
          <w:cantSplit/>
        </w:trPr>
        <w:tc>
          <w:tcPr>
            <w:tcW w:type="dxa" w:w="2720"/>
          </w:tcPr>
          <w:p>
            <w:pPr>
              <w:spacing w:after="0"/>
              <w:jc w:val="left"/>
            </w:pPr>
            <w:r/>
            <w:r>
              <w:rPr>
                <w:rFonts w:ascii="Calibri" w:hAnsi="Calibri"/>
                <w:b/>
                <w:color w:val="1A1A1A"/>
                <w:sz w:val="24"/>
              </w:rPr>
              <w:t>Duração sugerida</w:t>
            </w:r>
          </w:p>
        </w:tc>
        <w:tc>
          <w:tcPr>
            <w:tcW w:type="dxa" w:w="6352"/>
          </w:tcPr>
          <w:p>
            <w:pPr>
              <w:spacing w:after="0"/>
              <w:jc w:val="left"/>
            </w:pPr>
            <w:r/>
            <w:r>
              <w:rPr>
                <w:rFonts w:ascii="Calibri" w:hAnsi="Calibri"/>
                <w:b w:val="0"/>
                <w:color w:val="1A1A1A"/>
                <w:sz w:val="24"/>
              </w:rPr>
              <w:t>Meio período, quatro horas</w:t>
            </w:r>
          </w:p>
        </w:tc>
      </w:tr>
      <w:tr>
        <w:trPr>
          <w:cantSplit/>
        </w:trPr>
        <w:tc>
          <w:tcPr>
            <w:tcW w:type="dxa" w:w="2720"/>
            <w:shd w:val="clear" w:color="auto" w:fill="F2F5F8"/>
          </w:tcPr>
          <w:p>
            <w:pPr>
              <w:spacing w:after="0"/>
              <w:jc w:val="left"/>
            </w:pPr>
            <w:r/>
            <w:r>
              <w:rPr>
                <w:rFonts w:ascii="Calibri" w:hAnsi="Calibri"/>
                <w:b/>
                <w:color w:val="1A1A1A"/>
                <w:sz w:val="24"/>
              </w:rPr>
              <w:t>Público</w:t>
            </w:r>
          </w:p>
        </w:tc>
        <w:tc>
          <w:tcPr>
            <w:tcW w:type="dxa" w:w="6352"/>
            <w:shd w:val="clear" w:color="auto" w:fill="F2F5F8"/>
          </w:tcPr>
          <w:p>
            <w:pPr>
              <w:spacing w:after="0"/>
              <w:jc w:val="left"/>
            </w:pPr>
            <w:r/>
            <w:r>
              <w:rPr>
                <w:rFonts w:ascii="Calibri" w:hAnsi="Calibri"/>
                <w:b w:val="0"/>
                <w:color w:val="1A1A1A"/>
                <w:sz w:val="24"/>
              </w:rPr>
              <w:t>Cirurgiões-dentistas inscritos no CRO-MG, integrantes das Câmaras Técnicas, convidados institucionais</w:t>
            </w:r>
          </w:p>
        </w:tc>
      </w:tr>
      <w:tr>
        <w:trPr>
          <w:cantSplit/>
        </w:trPr>
        <w:tc>
          <w:tcPr>
            <w:tcW w:type="dxa" w:w="2720"/>
          </w:tcPr>
          <w:p>
            <w:pPr>
              <w:spacing w:after="0"/>
              <w:jc w:val="left"/>
            </w:pPr>
            <w:r/>
            <w:r>
              <w:rPr>
                <w:rFonts w:ascii="Calibri" w:hAnsi="Calibri"/>
                <w:b/>
                <w:color w:val="1A1A1A"/>
                <w:sz w:val="24"/>
              </w:rPr>
              <w:t>Custo</w:t>
            </w:r>
          </w:p>
        </w:tc>
        <w:tc>
          <w:tcPr>
            <w:tcW w:type="dxa" w:w="6352"/>
          </w:tcPr>
          <w:p>
            <w:pPr>
              <w:spacing w:after="0"/>
              <w:jc w:val="left"/>
            </w:pPr>
            <w:r/>
            <w:r>
              <w:rPr>
                <w:rFonts w:ascii="Calibri" w:hAnsi="Calibri"/>
                <w:b w:val="0"/>
                <w:color w:val="1A1A1A"/>
                <w:sz w:val="24"/>
              </w:rPr>
              <w:t>A dimensionar pela Diretoria Executiva conforme formato aprovado</w:t>
            </w:r>
          </w:p>
        </w:tc>
      </w:tr>
    </w:tbl>
    <w:p>
      <w:pPr>
        <w:keepNext/>
        <w:spacing w:before="360" w:after="160"/>
        <w:jc w:val="left"/>
        <w:pBdr>
          <w:bottom w:val="single" w:sz="8" w:space="4" w:color="143C64"/>
        </w:pBdr>
      </w:pPr>
      <w:r>
        <w:rPr>
          <w:rFonts w:ascii="Calibri" w:hAnsi="Calibri"/>
          <w:b/>
          <w:color w:val="143C64"/>
          <w:sz w:val="30"/>
        </w:rPr>
        <w:t>3  Programa proposto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410"/>
        <w:gridCol w:w="2448"/>
        <w:gridCol w:w="3033"/>
        <w:gridCol w:w="2182"/>
      </w:tblGrid>
      <w:tr>
        <w:trPr>
          <w:cantSplit/>
          <w:tblHeader/>
        </w:trPr>
        <w:tc>
          <w:tcPr>
            <w:tcW w:type="dxa" w:w="1410"/>
            <w:shd w:val="clear" w:color="auto" w:fill="143C64"/>
          </w:tcPr>
          <w:p>
            <w:pPr>
              <w:spacing w:after="0"/>
              <w:jc w:val="left"/>
            </w:pPr>
            <w:r/>
            <w:r>
              <w:rPr>
                <w:rFonts w:ascii="Calibri" w:hAnsi="Calibri"/>
                <w:b/>
                <w:color w:val="FFFFFF"/>
                <w:sz w:val="24"/>
              </w:rPr>
              <w:t>Horário</w:t>
            </w:r>
          </w:p>
        </w:tc>
        <w:tc>
          <w:tcPr>
            <w:tcW w:type="dxa" w:w="2448"/>
            <w:shd w:val="clear" w:color="auto" w:fill="143C64"/>
          </w:tcPr>
          <w:p>
            <w:pPr>
              <w:spacing w:after="0"/>
              <w:jc w:val="left"/>
            </w:pPr>
            <w:r/>
            <w:r>
              <w:rPr>
                <w:rFonts w:ascii="Calibri" w:hAnsi="Calibri"/>
                <w:b/>
                <w:color w:val="FFFFFF"/>
                <w:sz w:val="24"/>
              </w:rPr>
              <w:t>Bloco</w:t>
            </w:r>
          </w:p>
        </w:tc>
        <w:tc>
          <w:tcPr>
            <w:tcW w:type="dxa" w:w="3033"/>
            <w:shd w:val="clear" w:color="auto" w:fill="143C64"/>
          </w:tcPr>
          <w:p>
            <w:pPr>
              <w:spacing w:after="0"/>
              <w:jc w:val="left"/>
            </w:pPr>
            <w:r/>
            <w:r>
              <w:rPr>
                <w:rFonts w:ascii="Calibri" w:hAnsi="Calibri"/>
                <w:b/>
                <w:color w:val="FFFFFF"/>
                <w:sz w:val="24"/>
              </w:rPr>
              <w:t>Conteúdo</w:t>
            </w:r>
          </w:p>
        </w:tc>
        <w:tc>
          <w:tcPr>
            <w:tcW w:type="dxa" w:w="2182"/>
            <w:shd w:val="clear" w:color="auto" w:fill="143C64"/>
          </w:tcPr>
          <w:p>
            <w:pPr>
              <w:spacing w:after="0"/>
              <w:jc w:val="left"/>
            </w:pPr>
            <w:r/>
            <w:r>
              <w:rPr>
                <w:rFonts w:ascii="Calibri" w:hAnsi="Calibri"/>
                <w:b/>
                <w:color w:val="FFFFFF"/>
                <w:sz w:val="24"/>
              </w:rPr>
              <w:t>Responsável</w:t>
            </w:r>
          </w:p>
        </w:tc>
      </w:tr>
      <w:tr>
        <w:trPr>
          <w:cantSplit/>
        </w:trPr>
        <w:tc>
          <w:tcPr>
            <w:tcW w:type="dxa" w:w="1410"/>
          </w:tcPr>
          <w:p>
            <w:pPr>
              <w:spacing w:after="0"/>
              <w:jc w:val="left"/>
            </w:pPr>
            <w:r/>
            <w:r>
              <w:rPr>
                <w:rFonts w:ascii="Calibri" w:hAnsi="Calibri"/>
                <w:b/>
                <w:color w:val="1A1A1A"/>
                <w:sz w:val="24"/>
              </w:rPr>
              <w:t>0h00</w:t>
            </w:r>
          </w:p>
        </w:tc>
        <w:tc>
          <w:tcPr>
            <w:tcW w:type="dxa" w:w="2448"/>
          </w:tcPr>
          <w:p>
            <w:pPr>
              <w:spacing w:after="0"/>
              <w:jc w:val="left"/>
            </w:pPr>
            <w:r/>
            <w:r>
              <w:rPr>
                <w:rFonts w:ascii="Calibri" w:hAnsi="Calibri"/>
                <w:b w:val="0"/>
                <w:color w:val="1A1A1A"/>
                <w:sz w:val="24"/>
              </w:rPr>
              <w:t>Abertura institucional</w:t>
            </w:r>
          </w:p>
        </w:tc>
        <w:tc>
          <w:tcPr>
            <w:tcW w:type="dxa" w:w="3033"/>
          </w:tcPr>
          <w:p>
            <w:pPr>
              <w:spacing w:after="0"/>
              <w:jc w:val="left"/>
            </w:pPr>
            <w:r/>
            <w:r>
              <w:rPr>
                <w:rFonts w:ascii="Calibri" w:hAnsi="Calibri"/>
                <w:b w:val="0"/>
                <w:color w:val="1A1A1A"/>
                <w:sz w:val="24"/>
              </w:rPr>
              <w:t>Palavra da Diretoria Executiva e da Presidência da Câmara Técnica. Apresentação do propósito do ciclo.</w:t>
            </w:r>
          </w:p>
        </w:tc>
        <w:tc>
          <w:tcPr>
            <w:tcW w:type="dxa" w:w="2182"/>
          </w:tcPr>
          <w:p>
            <w:pPr>
              <w:spacing w:after="0"/>
              <w:jc w:val="left"/>
            </w:pPr>
            <w:r/>
            <w:r>
              <w:rPr>
                <w:rFonts w:ascii="Calibri" w:hAnsi="Calibri"/>
                <w:b w:val="0"/>
                <w:color w:val="1A1A1A"/>
                <w:sz w:val="24"/>
              </w:rPr>
              <w:t>Diretoria e CT-HOF</w:t>
            </w:r>
          </w:p>
        </w:tc>
      </w:tr>
      <w:tr>
        <w:trPr>
          <w:cantSplit/>
        </w:trPr>
        <w:tc>
          <w:tcPr>
            <w:tcW w:type="dxa" w:w="1410"/>
            <w:shd w:val="clear" w:color="auto" w:fill="F2F5F8"/>
          </w:tcPr>
          <w:p>
            <w:pPr>
              <w:spacing w:after="0"/>
              <w:jc w:val="left"/>
            </w:pPr>
            <w:r/>
            <w:r>
              <w:rPr>
                <w:rFonts w:ascii="Calibri" w:hAnsi="Calibri"/>
                <w:b/>
                <w:color w:val="1A1A1A"/>
                <w:sz w:val="24"/>
              </w:rPr>
              <w:t>0h20</w:t>
            </w:r>
          </w:p>
        </w:tc>
        <w:tc>
          <w:tcPr>
            <w:tcW w:type="dxa" w:w="2448"/>
            <w:shd w:val="clear" w:color="auto" w:fill="F2F5F8"/>
          </w:tcPr>
          <w:p>
            <w:pPr>
              <w:spacing w:after="0"/>
              <w:jc w:val="left"/>
            </w:pPr>
            <w:r/>
            <w:r>
              <w:rPr>
                <w:rFonts w:ascii="Calibri" w:hAnsi="Calibri"/>
                <w:b w:val="0"/>
                <w:color w:val="1A1A1A"/>
                <w:sz w:val="24"/>
              </w:rPr>
              <w:t>O que o ciclo produziu</w:t>
            </w:r>
          </w:p>
        </w:tc>
        <w:tc>
          <w:tcPr>
            <w:tcW w:type="dxa" w:w="3033"/>
            <w:shd w:val="clear" w:color="auto" w:fill="F2F5F8"/>
          </w:tcPr>
          <w:p>
            <w:pPr>
              <w:spacing w:after="0"/>
              <w:jc w:val="left"/>
            </w:pPr>
            <w:r/>
            <w:r>
              <w:rPr>
                <w:rFonts w:ascii="Calibri" w:hAnsi="Calibri"/>
                <w:b w:val="0"/>
                <w:color w:val="1A1A1A"/>
                <w:sz w:val="24"/>
              </w:rPr>
              <w:t>Apresentação do Programa HOF Segura e da arquitetura em dois eixos, com a lógica que une os produtos.</w:t>
            </w:r>
          </w:p>
        </w:tc>
        <w:tc>
          <w:tcPr>
            <w:tcW w:type="dxa" w:w="2182"/>
            <w:shd w:val="clear" w:color="auto" w:fill="F2F5F8"/>
          </w:tcPr>
          <w:p>
            <w:pPr>
              <w:spacing w:after="0"/>
              <w:jc w:val="left"/>
            </w:pPr>
            <w:r/>
            <w:r>
              <w:rPr>
                <w:rFonts w:ascii="Calibri" w:hAnsi="Calibri"/>
                <w:b w:val="0"/>
                <w:color w:val="1A1A1A"/>
                <w:sz w:val="24"/>
              </w:rPr>
              <w:t>Núcleo 5</w:t>
            </w:r>
          </w:p>
        </w:tc>
      </w:tr>
      <w:tr>
        <w:trPr>
          <w:cantSplit/>
        </w:trPr>
        <w:tc>
          <w:tcPr>
            <w:tcW w:type="dxa" w:w="1410"/>
          </w:tcPr>
          <w:p>
            <w:pPr>
              <w:spacing w:after="0"/>
              <w:jc w:val="left"/>
            </w:pPr>
            <w:r/>
            <w:r>
              <w:rPr>
                <w:rFonts w:ascii="Calibri" w:hAnsi="Calibri"/>
                <w:b/>
                <w:color w:val="1A1A1A"/>
                <w:sz w:val="24"/>
              </w:rPr>
              <w:t>0h50</w:t>
            </w:r>
          </w:p>
        </w:tc>
        <w:tc>
          <w:tcPr>
            <w:tcW w:type="dxa" w:w="2448"/>
          </w:tcPr>
          <w:p>
            <w:pPr>
              <w:spacing w:after="0"/>
              <w:jc w:val="left"/>
            </w:pPr>
            <w:r/>
            <w:r>
              <w:rPr>
                <w:rFonts w:ascii="Calibri" w:hAnsi="Calibri"/>
                <w:b w:val="0"/>
                <w:color w:val="1A1A1A"/>
                <w:sz w:val="24"/>
              </w:rPr>
              <w:t>Segurança clínica na prática</w:t>
            </w:r>
          </w:p>
        </w:tc>
        <w:tc>
          <w:tcPr>
            <w:tcW w:type="dxa" w:w="3033"/>
          </w:tcPr>
          <w:p>
            <w:pPr>
              <w:spacing w:after="0"/>
              <w:jc w:val="left"/>
            </w:pPr>
            <w:r/>
            <w:r>
              <w:rPr>
                <w:rFonts w:ascii="Calibri" w:hAnsi="Calibri"/>
                <w:b w:val="0"/>
                <w:color w:val="1A1A1A"/>
                <w:sz w:val="24"/>
              </w:rPr>
              <w:t>Quatro camadas, checklist, reconhecimento precoce e os três horários. Demonstração dos cartões de consulta rápida.</w:t>
            </w:r>
          </w:p>
        </w:tc>
        <w:tc>
          <w:tcPr>
            <w:tcW w:type="dxa" w:w="2182"/>
          </w:tcPr>
          <w:p>
            <w:pPr>
              <w:spacing w:after="0"/>
              <w:jc w:val="left"/>
            </w:pPr>
            <w:r/>
            <w:r>
              <w:rPr>
                <w:rFonts w:ascii="Calibri" w:hAnsi="Calibri"/>
                <w:b w:val="0"/>
                <w:color w:val="1A1A1A"/>
                <w:sz w:val="24"/>
              </w:rPr>
              <w:t>Núcleo 5</w:t>
            </w:r>
          </w:p>
        </w:tc>
      </w:tr>
      <w:tr>
        <w:trPr>
          <w:cantSplit/>
        </w:trPr>
        <w:tc>
          <w:tcPr>
            <w:tcW w:type="dxa" w:w="1410"/>
            <w:shd w:val="clear" w:color="auto" w:fill="F2F5F8"/>
          </w:tcPr>
          <w:p>
            <w:pPr>
              <w:spacing w:after="0"/>
              <w:jc w:val="left"/>
            </w:pPr>
            <w:r/>
            <w:r>
              <w:rPr>
                <w:rFonts w:ascii="Calibri" w:hAnsi="Calibri"/>
                <w:b/>
                <w:color w:val="1A1A1A"/>
                <w:sz w:val="24"/>
              </w:rPr>
              <w:t>1h30</w:t>
            </w:r>
          </w:p>
        </w:tc>
        <w:tc>
          <w:tcPr>
            <w:tcW w:type="dxa" w:w="2448"/>
            <w:shd w:val="clear" w:color="auto" w:fill="F2F5F8"/>
          </w:tcPr>
          <w:p>
            <w:pPr>
              <w:spacing w:after="0"/>
              <w:jc w:val="left"/>
            </w:pPr>
            <w:r/>
            <w:r>
              <w:rPr>
                <w:rFonts w:ascii="Calibri" w:hAnsi="Calibri"/>
                <w:b w:val="0"/>
                <w:color w:val="1A1A1A"/>
                <w:sz w:val="24"/>
              </w:rPr>
              <w:t>Intervalo</w:t>
            </w:r>
          </w:p>
        </w:tc>
        <w:tc>
          <w:tcPr>
            <w:tcW w:type="dxa" w:w="3033"/>
            <w:shd w:val="clear" w:color="auto" w:fill="F2F5F8"/>
          </w:tcPr>
          <w:p>
            <w:pPr>
              <w:spacing w:after="0"/>
              <w:jc w:val="left"/>
            </w:pPr>
            <w:r/>
            <w:r>
              <w:rPr>
                <w:rFonts w:ascii="Calibri" w:hAnsi="Calibri"/>
                <w:b w:val="0"/>
                <w:color w:val="1A1A1A"/>
                <w:sz w:val="24"/>
              </w:rPr>
            </w:r>
          </w:p>
        </w:tc>
        <w:tc>
          <w:tcPr>
            <w:tcW w:type="dxa" w:w="2182"/>
            <w:shd w:val="clear" w:color="auto" w:fill="F2F5F8"/>
          </w:tcPr>
          <w:p>
            <w:pPr>
              <w:spacing w:after="0"/>
              <w:jc w:val="left"/>
            </w:pPr>
            <w:r/>
            <w:r>
              <w:rPr>
                <w:rFonts w:ascii="Calibri" w:hAnsi="Calibri"/>
                <w:b w:val="0"/>
                <w:color w:val="1A1A1A"/>
                <w:sz w:val="24"/>
              </w:rPr>
            </w:r>
          </w:p>
        </w:tc>
      </w:tr>
      <w:tr>
        <w:trPr>
          <w:cantSplit/>
        </w:trPr>
        <w:tc>
          <w:tcPr>
            <w:tcW w:type="dxa" w:w="1410"/>
          </w:tcPr>
          <w:p>
            <w:pPr>
              <w:spacing w:after="0"/>
              <w:jc w:val="left"/>
            </w:pPr>
            <w:r/>
            <w:r>
              <w:rPr>
                <w:rFonts w:ascii="Calibri" w:hAnsi="Calibri"/>
                <w:b/>
                <w:color w:val="1A1A1A"/>
                <w:sz w:val="24"/>
              </w:rPr>
              <w:t>1h45</w:t>
            </w:r>
          </w:p>
        </w:tc>
        <w:tc>
          <w:tcPr>
            <w:tcW w:type="dxa" w:w="2448"/>
          </w:tcPr>
          <w:p>
            <w:pPr>
              <w:spacing w:after="0"/>
              <w:jc w:val="left"/>
            </w:pPr>
            <w:r/>
            <w:r>
              <w:rPr>
                <w:rFonts w:ascii="Calibri" w:hAnsi="Calibri"/>
                <w:b w:val="0"/>
                <w:color w:val="1A1A1A"/>
                <w:sz w:val="24"/>
              </w:rPr>
              <w:t>Tecnologia com critério</w:t>
            </w:r>
          </w:p>
        </w:tc>
        <w:tc>
          <w:tcPr>
            <w:tcW w:type="dxa" w:w="3033"/>
          </w:tcPr>
          <w:p>
            <w:pPr>
              <w:spacing w:after="0"/>
              <w:jc w:val="left"/>
            </w:pPr>
            <w:r/>
            <w:r>
              <w:rPr>
                <w:rFonts w:ascii="Calibri" w:hAnsi="Calibri"/>
                <w:b w:val="0"/>
                <w:color w:val="1A1A1A"/>
                <w:sz w:val="24"/>
              </w:rPr>
              <w:t>A matriz em oito dimensões aplicada a um caso concreto, com a conclusão construída ao vivo diante do público.</w:t>
            </w:r>
          </w:p>
        </w:tc>
        <w:tc>
          <w:tcPr>
            <w:tcW w:type="dxa" w:w="2182"/>
          </w:tcPr>
          <w:p>
            <w:pPr>
              <w:spacing w:after="0"/>
              <w:jc w:val="left"/>
            </w:pPr>
            <w:r/>
            <w:r>
              <w:rPr>
                <w:rFonts w:ascii="Calibri" w:hAnsi="Calibri"/>
                <w:b w:val="0"/>
                <w:color w:val="1A1A1A"/>
                <w:sz w:val="24"/>
              </w:rPr>
              <w:t>Núcleo 5</w:t>
            </w:r>
          </w:p>
        </w:tc>
      </w:tr>
      <w:tr>
        <w:trPr>
          <w:cantSplit/>
        </w:trPr>
        <w:tc>
          <w:tcPr>
            <w:tcW w:type="dxa" w:w="1410"/>
            <w:shd w:val="clear" w:color="auto" w:fill="F2F5F8"/>
          </w:tcPr>
          <w:p>
            <w:pPr>
              <w:spacing w:after="0"/>
              <w:jc w:val="left"/>
            </w:pPr>
            <w:r/>
            <w:r>
              <w:rPr>
                <w:rFonts w:ascii="Calibri" w:hAnsi="Calibri"/>
                <w:b/>
                <w:color w:val="1A1A1A"/>
                <w:sz w:val="24"/>
              </w:rPr>
              <w:t>2h25</w:t>
            </w:r>
          </w:p>
        </w:tc>
        <w:tc>
          <w:tcPr>
            <w:tcW w:type="dxa" w:w="2448"/>
            <w:shd w:val="clear" w:color="auto" w:fill="F2F5F8"/>
          </w:tcPr>
          <w:p>
            <w:pPr>
              <w:spacing w:after="0"/>
              <w:jc w:val="left"/>
            </w:pPr>
            <w:r/>
            <w:r>
              <w:rPr>
                <w:rFonts w:ascii="Calibri" w:hAnsi="Calibri"/>
                <w:b w:val="0"/>
                <w:color w:val="1A1A1A"/>
                <w:sz w:val="24"/>
              </w:rPr>
              <w:t>Conformidade regulatória</w:t>
            </w:r>
          </w:p>
        </w:tc>
        <w:tc>
          <w:tcPr>
            <w:tcW w:type="dxa" w:w="3033"/>
            <w:shd w:val="clear" w:color="auto" w:fill="F2F5F8"/>
          </w:tcPr>
          <w:p>
            <w:pPr>
              <w:spacing w:after="0"/>
              <w:jc w:val="left"/>
            </w:pPr>
            <w:r/>
            <w:r>
              <w:rPr>
                <w:rFonts w:ascii="Calibri" w:hAnsi="Calibri"/>
                <w:b w:val="0"/>
                <w:color w:val="1A1A1A"/>
                <w:sz w:val="24"/>
              </w:rPr>
              <w:t>As quatro camadas normativas, o roteiro de consulta às bases oficiais e o uso fora da indicação aprovada.</w:t>
            </w:r>
          </w:p>
        </w:tc>
        <w:tc>
          <w:tcPr>
            <w:tcW w:type="dxa" w:w="2182"/>
            <w:shd w:val="clear" w:color="auto" w:fill="F2F5F8"/>
          </w:tcPr>
          <w:p>
            <w:pPr>
              <w:spacing w:after="0"/>
              <w:jc w:val="left"/>
            </w:pPr>
            <w:r/>
            <w:r>
              <w:rPr>
                <w:rFonts w:ascii="Calibri" w:hAnsi="Calibri"/>
                <w:b w:val="0"/>
                <w:color w:val="1A1A1A"/>
                <w:sz w:val="24"/>
              </w:rPr>
              <w:t>Núcleo 5</w:t>
            </w:r>
          </w:p>
        </w:tc>
      </w:tr>
      <w:tr>
        <w:trPr>
          <w:cantSplit/>
        </w:trPr>
        <w:tc>
          <w:tcPr>
            <w:tcW w:type="dxa" w:w="1410"/>
          </w:tcPr>
          <w:p>
            <w:pPr>
              <w:spacing w:after="0"/>
              <w:jc w:val="left"/>
            </w:pPr>
            <w:r/>
            <w:r>
              <w:rPr>
                <w:rFonts w:ascii="Calibri" w:hAnsi="Calibri"/>
                <w:b/>
                <w:color w:val="1A1A1A"/>
                <w:sz w:val="24"/>
              </w:rPr>
              <w:t>3h00</w:t>
            </w:r>
          </w:p>
        </w:tc>
        <w:tc>
          <w:tcPr>
            <w:tcW w:type="dxa" w:w="2448"/>
          </w:tcPr>
          <w:p>
            <w:pPr>
              <w:spacing w:after="0"/>
              <w:jc w:val="left"/>
            </w:pPr>
            <w:r/>
            <w:r>
              <w:rPr>
                <w:rFonts w:ascii="Calibri" w:hAnsi="Calibri"/>
                <w:b w:val="0"/>
                <w:color w:val="1A1A1A"/>
                <w:sz w:val="24"/>
              </w:rPr>
              <w:t>Mesa de debate</w:t>
            </w:r>
          </w:p>
        </w:tc>
        <w:tc>
          <w:tcPr>
            <w:tcW w:type="dxa" w:w="3033"/>
          </w:tcPr>
          <w:p>
            <w:pPr>
              <w:spacing w:after="0"/>
              <w:jc w:val="left"/>
            </w:pPr>
            <w:r/>
            <w:r>
              <w:rPr>
                <w:rFonts w:ascii="Calibri" w:hAnsi="Calibri"/>
                <w:b w:val="0"/>
                <w:color w:val="1A1A1A"/>
                <w:sz w:val="24"/>
              </w:rPr>
              <w:t>Perguntas do público, com mediação. Registro das perguntas como pauta do ciclo seguinte.</w:t>
            </w:r>
          </w:p>
        </w:tc>
        <w:tc>
          <w:tcPr>
            <w:tcW w:type="dxa" w:w="2182"/>
          </w:tcPr>
          <w:p>
            <w:pPr>
              <w:spacing w:after="0"/>
              <w:jc w:val="left"/>
            </w:pPr>
            <w:r/>
            <w:r>
              <w:rPr>
                <w:rFonts w:ascii="Calibri" w:hAnsi="Calibri"/>
                <w:b w:val="0"/>
                <w:color w:val="1A1A1A"/>
                <w:sz w:val="24"/>
              </w:rPr>
              <w:t>Câmara Técnica</w:t>
            </w:r>
          </w:p>
        </w:tc>
      </w:tr>
      <w:tr>
        <w:trPr>
          <w:cantSplit/>
        </w:trPr>
        <w:tc>
          <w:tcPr>
            <w:tcW w:type="dxa" w:w="1410"/>
            <w:shd w:val="clear" w:color="auto" w:fill="F2F5F8"/>
          </w:tcPr>
          <w:p>
            <w:pPr>
              <w:spacing w:after="0"/>
              <w:jc w:val="left"/>
            </w:pPr>
            <w:r/>
            <w:r>
              <w:rPr>
                <w:rFonts w:ascii="Calibri" w:hAnsi="Calibri"/>
                <w:b/>
                <w:color w:val="1A1A1A"/>
                <w:sz w:val="24"/>
              </w:rPr>
              <w:t>3h35</w:t>
            </w:r>
          </w:p>
        </w:tc>
        <w:tc>
          <w:tcPr>
            <w:tcW w:type="dxa" w:w="2448"/>
            <w:shd w:val="clear" w:color="auto" w:fill="F2F5F8"/>
          </w:tcPr>
          <w:p>
            <w:pPr>
              <w:spacing w:after="0"/>
              <w:jc w:val="left"/>
            </w:pPr>
            <w:r/>
            <w:r>
              <w:rPr>
                <w:rFonts w:ascii="Calibri" w:hAnsi="Calibri"/>
                <w:b w:val="0"/>
                <w:color w:val="1A1A1A"/>
                <w:sz w:val="24"/>
              </w:rPr>
              <w:t>Entrega oficial e encerramento</w:t>
            </w:r>
          </w:p>
        </w:tc>
        <w:tc>
          <w:tcPr>
            <w:tcW w:type="dxa" w:w="3033"/>
            <w:shd w:val="clear" w:color="auto" w:fill="F2F5F8"/>
          </w:tcPr>
          <w:p>
            <w:pPr>
              <w:spacing w:after="0"/>
              <w:jc w:val="left"/>
            </w:pPr>
            <w:r/>
            <w:r>
              <w:rPr>
                <w:rFonts w:ascii="Calibri" w:hAnsi="Calibri"/>
                <w:b w:val="0"/>
                <w:color w:val="1A1A1A"/>
                <w:sz w:val="24"/>
              </w:rPr>
              <w:t>Entrega formal dos produtos à Diretoria Executiva, com lavratura de ata. Anúncio da agenda 2027.</w:t>
            </w:r>
          </w:p>
        </w:tc>
        <w:tc>
          <w:tcPr>
            <w:tcW w:type="dxa" w:w="2182"/>
            <w:shd w:val="clear" w:color="auto" w:fill="F2F5F8"/>
          </w:tcPr>
          <w:p>
            <w:pPr>
              <w:spacing w:after="0"/>
              <w:jc w:val="left"/>
            </w:pPr>
            <w:r/>
            <w:r>
              <w:rPr>
                <w:rFonts w:ascii="Calibri" w:hAnsi="Calibri"/>
                <w:b w:val="0"/>
                <w:color w:val="1A1A1A"/>
                <w:sz w:val="24"/>
              </w:rPr>
              <w:t>Núcleo 5 e Diretoria</w:t>
            </w:r>
          </w:p>
        </w:tc>
      </w:tr>
    </w:tbl>
    <w:p>
      <w:r>
        <w:br w:type="page"/>
      </w:r>
    </w:p>
    <w:p>
      <w:pPr>
        <w:keepNext/>
        <w:spacing w:before="360" w:after="160"/>
        <w:jc w:val="left"/>
        <w:pBdr>
          <w:bottom w:val="single" w:sz="8" w:space="4" w:color="143C64"/>
        </w:pBdr>
      </w:pPr>
      <w:r>
        <w:rPr>
          <w:rFonts w:ascii="Calibri" w:hAnsi="Calibri"/>
          <w:b/>
          <w:color w:val="143C64"/>
          <w:sz w:val="30"/>
        </w:rPr>
        <w:t>4  Produção: o que precisa estar pronto e quando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165"/>
        <w:gridCol w:w="4246"/>
        <w:gridCol w:w="2661"/>
      </w:tblGrid>
      <w:tr>
        <w:trPr>
          <w:cantSplit/>
          <w:tblHeader/>
        </w:trPr>
        <w:tc>
          <w:tcPr>
            <w:tcW w:type="dxa" w:w="2165"/>
            <w:shd w:val="clear" w:color="auto" w:fill="143C64"/>
          </w:tcPr>
          <w:p>
            <w:pPr>
              <w:spacing w:after="0"/>
              <w:jc w:val="left"/>
            </w:pPr>
            <w:r/>
            <w:r>
              <w:rPr>
                <w:rFonts w:ascii="Calibri" w:hAnsi="Calibri"/>
                <w:b/>
                <w:color w:val="FFFFFF"/>
                <w:sz w:val="24"/>
              </w:rPr>
              <w:t>Prazo</w:t>
            </w:r>
          </w:p>
        </w:tc>
        <w:tc>
          <w:tcPr>
            <w:tcW w:type="dxa" w:w="4246"/>
            <w:shd w:val="clear" w:color="auto" w:fill="143C64"/>
          </w:tcPr>
          <w:p>
            <w:pPr>
              <w:spacing w:after="0"/>
              <w:jc w:val="left"/>
            </w:pPr>
            <w:r/>
            <w:r>
              <w:rPr>
                <w:rFonts w:ascii="Calibri" w:hAnsi="Calibri"/>
                <w:b/>
                <w:color w:val="FFFFFF"/>
                <w:sz w:val="24"/>
              </w:rPr>
              <w:t>Providência</w:t>
            </w:r>
          </w:p>
        </w:tc>
        <w:tc>
          <w:tcPr>
            <w:tcW w:type="dxa" w:w="2661"/>
            <w:shd w:val="clear" w:color="auto" w:fill="143C64"/>
          </w:tcPr>
          <w:p>
            <w:pPr>
              <w:spacing w:after="0"/>
              <w:jc w:val="left"/>
            </w:pPr>
            <w:r/>
            <w:r>
              <w:rPr>
                <w:rFonts w:ascii="Calibri" w:hAnsi="Calibri"/>
                <w:b/>
                <w:color w:val="FFFFFF"/>
                <w:sz w:val="24"/>
              </w:rPr>
              <w:t>Responsável</w:t>
            </w:r>
          </w:p>
        </w:tc>
      </w:tr>
      <w:tr>
        <w:trPr>
          <w:cantSplit/>
        </w:trPr>
        <w:tc>
          <w:tcPr>
            <w:tcW w:type="dxa" w:w="2165"/>
          </w:tcPr>
          <w:p>
            <w:pPr>
              <w:spacing w:after="0"/>
              <w:jc w:val="left"/>
            </w:pPr>
            <w:r/>
            <w:r>
              <w:rPr>
                <w:rFonts w:ascii="Calibri" w:hAnsi="Calibri"/>
                <w:b/>
                <w:color w:val="1A1A1A"/>
                <w:sz w:val="24"/>
              </w:rPr>
              <w:t>Até 30 de setembro</w:t>
            </w:r>
          </w:p>
        </w:tc>
        <w:tc>
          <w:tcPr>
            <w:tcW w:type="dxa" w:w="4246"/>
          </w:tcPr>
          <w:p>
            <w:pPr>
              <w:spacing w:after="0"/>
              <w:jc w:val="left"/>
            </w:pPr>
            <w:r/>
            <w:r>
              <w:rPr>
                <w:rFonts w:ascii="Calibri" w:hAnsi="Calibri"/>
                <w:b w:val="0"/>
                <w:color w:val="1A1A1A"/>
                <w:sz w:val="24"/>
              </w:rPr>
              <w:t>Deliberação sobre data, formato e local. Solicitação de apoio à Diretoria Executiva.</w:t>
            </w:r>
          </w:p>
        </w:tc>
        <w:tc>
          <w:tcPr>
            <w:tcW w:type="dxa" w:w="2661"/>
          </w:tcPr>
          <w:p>
            <w:pPr>
              <w:spacing w:after="0"/>
              <w:jc w:val="left"/>
            </w:pPr>
            <w:r/>
            <w:r>
              <w:rPr>
                <w:rFonts w:ascii="Calibri" w:hAnsi="Calibri"/>
                <w:b w:val="0"/>
                <w:color w:val="1A1A1A"/>
                <w:sz w:val="24"/>
              </w:rPr>
              <w:t>Núcleo 5</w:t>
            </w:r>
          </w:p>
        </w:tc>
      </w:tr>
      <w:tr>
        <w:trPr>
          <w:cantSplit/>
        </w:trPr>
        <w:tc>
          <w:tcPr>
            <w:tcW w:type="dxa" w:w="2165"/>
            <w:shd w:val="clear" w:color="auto" w:fill="F2F5F8"/>
          </w:tcPr>
          <w:p>
            <w:pPr>
              <w:spacing w:after="0"/>
              <w:jc w:val="left"/>
            </w:pPr>
            <w:r/>
            <w:r>
              <w:rPr>
                <w:rFonts w:ascii="Calibri" w:hAnsi="Calibri"/>
                <w:b/>
                <w:color w:val="1A1A1A"/>
                <w:sz w:val="24"/>
              </w:rPr>
              <w:t>Até 15 de outubro</w:t>
            </w:r>
          </w:p>
        </w:tc>
        <w:tc>
          <w:tcPr>
            <w:tcW w:type="dxa" w:w="4246"/>
            <w:shd w:val="clear" w:color="auto" w:fill="F2F5F8"/>
          </w:tcPr>
          <w:p>
            <w:pPr>
              <w:spacing w:after="0"/>
              <w:jc w:val="left"/>
            </w:pPr>
            <w:r/>
            <w:r>
              <w:rPr>
                <w:rFonts w:ascii="Calibri" w:hAnsi="Calibri"/>
                <w:b w:val="0"/>
                <w:color w:val="1A1A1A"/>
                <w:sz w:val="24"/>
              </w:rPr>
              <w:t>Definição do programa final, dos apresentadores e dos convidados institucionais.</w:t>
            </w:r>
          </w:p>
        </w:tc>
        <w:tc>
          <w:tcPr>
            <w:tcW w:type="dxa" w:w="2661"/>
            <w:shd w:val="clear" w:color="auto" w:fill="F2F5F8"/>
          </w:tcPr>
          <w:p>
            <w:pPr>
              <w:spacing w:after="0"/>
              <w:jc w:val="left"/>
            </w:pPr>
            <w:r/>
            <w:r>
              <w:rPr>
                <w:rFonts w:ascii="Calibri" w:hAnsi="Calibri"/>
                <w:b w:val="0"/>
                <w:color w:val="1A1A1A"/>
                <w:sz w:val="24"/>
              </w:rPr>
              <w:t>Núcleo 5 e Núcleo 4</w:t>
            </w:r>
          </w:p>
        </w:tc>
      </w:tr>
      <w:tr>
        <w:trPr>
          <w:cantSplit/>
        </w:trPr>
        <w:tc>
          <w:tcPr>
            <w:tcW w:type="dxa" w:w="2165"/>
          </w:tcPr>
          <w:p>
            <w:pPr>
              <w:spacing w:after="0"/>
              <w:jc w:val="left"/>
            </w:pPr>
            <w:r/>
            <w:r>
              <w:rPr>
                <w:rFonts w:ascii="Calibri" w:hAnsi="Calibri"/>
                <w:b/>
                <w:color w:val="1A1A1A"/>
                <w:sz w:val="24"/>
              </w:rPr>
              <w:t>Até 31 de outubro</w:t>
            </w:r>
          </w:p>
        </w:tc>
        <w:tc>
          <w:tcPr>
            <w:tcW w:type="dxa" w:w="4246"/>
          </w:tcPr>
          <w:p>
            <w:pPr>
              <w:spacing w:after="0"/>
              <w:jc w:val="left"/>
            </w:pPr>
            <w:r/>
            <w:r>
              <w:rPr>
                <w:rFonts w:ascii="Calibri" w:hAnsi="Calibri"/>
                <w:b w:val="0"/>
                <w:color w:val="1A1A1A"/>
                <w:sz w:val="24"/>
              </w:rPr>
              <w:t>Peças de divulgação submetidas à Comunicação, conforme as regras do documento 15.</w:t>
            </w:r>
          </w:p>
        </w:tc>
        <w:tc>
          <w:tcPr>
            <w:tcW w:type="dxa" w:w="2661"/>
          </w:tcPr>
          <w:p>
            <w:pPr>
              <w:spacing w:after="0"/>
              <w:jc w:val="left"/>
            </w:pPr>
            <w:r/>
            <w:r>
              <w:rPr>
                <w:rFonts w:ascii="Calibri" w:hAnsi="Calibri"/>
                <w:b w:val="0"/>
                <w:color w:val="1A1A1A"/>
                <w:sz w:val="24"/>
              </w:rPr>
              <w:t>Núcleo 5 e Comunicação</w:t>
            </w:r>
          </w:p>
        </w:tc>
      </w:tr>
      <w:tr>
        <w:trPr>
          <w:cantSplit/>
        </w:trPr>
        <w:tc>
          <w:tcPr>
            <w:tcW w:type="dxa" w:w="2165"/>
            <w:shd w:val="clear" w:color="auto" w:fill="F2F5F8"/>
          </w:tcPr>
          <w:p>
            <w:pPr>
              <w:spacing w:after="0"/>
              <w:jc w:val="left"/>
            </w:pPr>
            <w:r/>
            <w:r>
              <w:rPr>
                <w:rFonts w:ascii="Calibri" w:hAnsi="Calibri"/>
                <w:b/>
                <w:color w:val="1A1A1A"/>
                <w:sz w:val="24"/>
              </w:rPr>
              <w:t>Até 14 de novembro</w:t>
            </w:r>
          </w:p>
        </w:tc>
        <w:tc>
          <w:tcPr>
            <w:tcW w:type="dxa" w:w="4246"/>
            <w:shd w:val="clear" w:color="auto" w:fill="F2F5F8"/>
          </w:tcPr>
          <w:p>
            <w:pPr>
              <w:spacing w:after="0"/>
              <w:jc w:val="left"/>
            </w:pPr>
            <w:r/>
            <w:r>
              <w:rPr>
                <w:rFonts w:ascii="Calibri" w:hAnsi="Calibri"/>
                <w:b w:val="0"/>
                <w:color w:val="1A1A1A"/>
                <w:sz w:val="24"/>
              </w:rPr>
              <w:t>Abertura de inscrições e envio de convites institucionais.</w:t>
            </w:r>
          </w:p>
        </w:tc>
        <w:tc>
          <w:tcPr>
            <w:tcW w:type="dxa" w:w="2661"/>
            <w:shd w:val="clear" w:color="auto" w:fill="F2F5F8"/>
          </w:tcPr>
          <w:p>
            <w:pPr>
              <w:spacing w:after="0"/>
              <w:jc w:val="left"/>
            </w:pPr>
            <w:r/>
            <w:r>
              <w:rPr>
                <w:rFonts w:ascii="Calibri" w:hAnsi="Calibri"/>
                <w:b w:val="0"/>
                <w:color w:val="1A1A1A"/>
                <w:sz w:val="24"/>
              </w:rPr>
              <w:t>Secretaria</w:t>
            </w:r>
          </w:p>
        </w:tc>
      </w:tr>
      <w:tr>
        <w:trPr>
          <w:cantSplit/>
        </w:trPr>
        <w:tc>
          <w:tcPr>
            <w:tcW w:type="dxa" w:w="2165"/>
          </w:tcPr>
          <w:p>
            <w:pPr>
              <w:spacing w:after="0"/>
              <w:jc w:val="left"/>
            </w:pPr>
            <w:r/>
            <w:r>
              <w:rPr>
                <w:rFonts w:ascii="Calibri" w:hAnsi="Calibri"/>
                <w:b/>
                <w:color w:val="1A1A1A"/>
                <w:sz w:val="24"/>
              </w:rPr>
              <w:t>Até 28 de novembro</w:t>
            </w:r>
          </w:p>
        </w:tc>
        <w:tc>
          <w:tcPr>
            <w:tcW w:type="dxa" w:w="4246"/>
          </w:tcPr>
          <w:p>
            <w:pPr>
              <w:spacing w:after="0"/>
              <w:jc w:val="left"/>
            </w:pPr>
            <w:r/>
            <w:r>
              <w:rPr>
                <w:rFonts w:ascii="Calibri" w:hAnsi="Calibri"/>
                <w:b w:val="0"/>
                <w:color w:val="1A1A1A"/>
                <w:sz w:val="24"/>
              </w:rPr>
              <w:t>Material do participante consolidado e revisado. Apresentações finalizadas.</w:t>
            </w:r>
          </w:p>
        </w:tc>
        <w:tc>
          <w:tcPr>
            <w:tcW w:type="dxa" w:w="2661"/>
          </w:tcPr>
          <w:p>
            <w:pPr>
              <w:spacing w:after="0"/>
              <w:jc w:val="left"/>
            </w:pPr>
            <w:r/>
            <w:r>
              <w:rPr>
                <w:rFonts w:ascii="Calibri" w:hAnsi="Calibri"/>
                <w:b w:val="0"/>
                <w:color w:val="1A1A1A"/>
                <w:sz w:val="24"/>
              </w:rPr>
              <w:t>Núcleo 5</w:t>
            </w:r>
          </w:p>
        </w:tc>
      </w:tr>
      <w:tr>
        <w:trPr>
          <w:cantSplit/>
        </w:trPr>
        <w:tc>
          <w:tcPr>
            <w:tcW w:type="dxa" w:w="2165"/>
            <w:shd w:val="clear" w:color="auto" w:fill="F2F5F8"/>
          </w:tcPr>
          <w:p>
            <w:pPr>
              <w:spacing w:after="0"/>
              <w:jc w:val="left"/>
            </w:pPr>
            <w:r/>
            <w:r>
              <w:rPr>
                <w:rFonts w:ascii="Calibri" w:hAnsi="Calibri"/>
                <w:b/>
                <w:color w:val="1A1A1A"/>
                <w:sz w:val="24"/>
              </w:rPr>
              <w:t>Até 5 de dezembro</w:t>
            </w:r>
          </w:p>
        </w:tc>
        <w:tc>
          <w:tcPr>
            <w:tcW w:type="dxa" w:w="4246"/>
            <w:shd w:val="clear" w:color="auto" w:fill="F2F5F8"/>
          </w:tcPr>
          <w:p>
            <w:pPr>
              <w:spacing w:after="0"/>
              <w:jc w:val="left"/>
            </w:pPr>
            <w:r/>
            <w:r>
              <w:rPr>
                <w:rFonts w:ascii="Calibri" w:hAnsi="Calibri"/>
                <w:b w:val="0"/>
                <w:color w:val="1A1A1A"/>
                <w:sz w:val="24"/>
              </w:rPr>
              <w:t>Ensaio técnico, teste de transmissão e conferência do material impresso.</w:t>
            </w:r>
          </w:p>
        </w:tc>
        <w:tc>
          <w:tcPr>
            <w:tcW w:type="dxa" w:w="2661"/>
            <w:shd w:val="clear" w:color="auto" w:fill="F2F5F8"/>
          </w:tcPr>
          <w:p>
            <w:pPr>
              <w:spacing w:after="0"/>
              <w:jc w:val="left"/>
            </w:pPr>
            <w:r/>
            <w:r>
              <w:rPr>
                <w:rFonts w:ascii="Calibri" w:hAnsi="Calibri"/>
                <w:b w:val="0"/>
                <w:color w:val="1A1A1A"/>
                <w:sz w:val="24"/>
              </w:rPr>
              <w:t>Secretaria e Comunicação</w:t>
            </w:r>
          </w:p>
        </w:tc>
      </w:tr>
      <w:tr>
        <w:trPr>
          <w:cantSplit/>
        </w:trPr>
        <w:tc>
          <w:tcPr>
            <w:tcW w:type="dxa" w:w="2165"/>
          </w:tcPr>
          <w:p>
            <w:pPr>
              <w:spacing w:after="0"/>
              <w:jc w:val="left"/>
            </w:pPr>
            <w:r/>
            <w:r>
              <w:rPr>
                <w:rFonts w:ascii="Calibri" w:hAnsi="Calibri"/>
                <w:b/>
                <w:color w:val="1A1A1A"/>
                <w:sz w:val="24"/>
              </w:rPr>
              <w:t>Data do evento</w:t>
            </w:r>
          </w:p>
        </w:tc>
        <w:tc>
          <w:tcPr>
            <w:tcW w:type="dxa" w:w="4246"/>
          </w:tcPr>
          <w:p>
            <w:pPr>
              <w:spacing w:after="0"/>
              <w:jc w:val="left"/>
            </w:pPr>
            <w:r/>
            <w:r>
              <w:rPr>
                <w:rFonts w:ascii="Calibri" w:hAnsi="Calibri"/>
                <w:b w:val="0"/>
                <w:color w:val="1A1A1A"/>
                <w:sz w:val="24"/>
              </w:rPr>
              <w:t>Realização, registro fotográfico, lista de presença e lavratura da ata de entrega.</w:t>
            </w:r>
          </w:p>
        </w:tc>
        <w:tc>
          <w:tcPr>
            <w:tcW w:type="dxa" w:w="2661"/>
          </w:tcPr>
          <w:p>
            <w:pPr>
              <w:spacing w:after="0"/>
              <w:jc w:val="left"/>
            </w:pPr>
            <w:r/>
            <w:r>
              <w:rPr>
                <w:rFonts w:ascii="Calibri" w:hAnsi="Calibri"/>
                <w:b w:val="0"/>
                <w:color w:val="1A1A1A"/>
                <w:sz w:val="24"/>
              </w:rPr>
              <w:t>Núcleo 5</w:t>
            </w:r>
          </w:p>
        </w:tc>
      </w:tr>
      <w:tr>
        <w:trPr>
          <w:cantSplit/>
        </w:trPr>
        <w:tc>
          <w:tcPr>
            <w:tcW w:type="dxa" w:w="2165"/>
            <w:shd w:val="clear" w:color="auto" w:fill="F2F5F8"/>
          </w:tcPr>
          <w:p>
            <w:pPr>
              <w:spacing w:after="0"/>
              <w:jc w:val="left"/>
            </w:pPr>
            <w:r/>
            <w:r>
              <w:rPr>
                <w:rFonts w:ascii="Calibri" w:hAnsi="Calibri"/>
                <w:b/>
                <w:color w:val="1A1A1A"/>
                <w:sz w:val="24"/>
              </w:rPr>
              <w:t>Até 20 de dezembro</w:t>
            </w:r>
          </w:p>
        </w:tc>
        <w:tc>
          <w:tcPr>
            <w:tcW w:type="dxa" w:w="4246"/>
            <w:shd w:val="clear" w:color="auto" w:fill="F2F5F8"/>
          </w:tcPr>
          <w:p>
            <w:pPr>
              <w:spacing w:after="0"/>
              <w:jc w:val="left"/>
            </w:pPr>
            <w:r/>
            <w:r>
              <w:rPr>
                <w:rFonts w:ascii="Calibri" w:hAnsi="Calibri"/>
                <w:b w:val="0"/>
                <w:color w:val="1A1A1A"/>
                <w:sz w:val="24"/>
              </w:rPr>
              <w:t>Relatório do evento, consolidação das perguntas do público e prestação de contas.</w:t>
            </w:r>
          </w:p>
        </w:tc>
        <w:tc>
          <w:tcPr>
            <w:tcW w:type="dxa" w:w="2661"/>
            <w:shd w:val="clear" w:color="auto" w:fill="F2F5F8"/>
          </w:tcPr>
          <w:p>
            <w:pPr>
              <w:spacing w:after="0"/>
              <w:jc w:val="left"/>
            </w:pPr>
            <w:r/>
            <w:r>
              <w:rPr>
                <w:rFonts w:ascii="Calibri" w:hAnsi="Calibri"/>
                <w:b w:val="0"/>
                <w:color w:val="1A1A1A"/>
                <w:sz w:val="24"/>
              </w:rPr>
              <w:t>Núcleo 5</w:t>
            </w:r>
          </w:p>
        </w:tc>
      </w:tr>
    </w:tbl>
    <w:p>
      <w:pPr>
        <w:keepNext/>
        <w:spacing w:before="360" w:after="160"/>
        <w:jc w:val="left"/>
        <w:pBdr>
          <w:bottom w:val="single" w:sz="8" w:space="4" w:color="143C64"/>
        </w:pBdr>
      </w:pPr>
      <w:r>
        <w:rPr>
          <w:rFonts w:ascii="Calibri" w:hAnsi="Calibri"/>
          <w:b/>
          <w:color w:val="143C64"/>
          <w:sz w:val="30"/>
        </w:rPr>
        <w:t>5  Material do participante</w:t>
      </w:r>
    </w:p>
    <w:p>
      <w:pPr>
        <w:spacing w:after="120"/>
        <w:jc w:val="both"/>
      </w:pPr>
      <w:r>
        <w:rPr>
          <w:rFonts w:ascii="Calibri" w:hAnsi="Calibri"/>
          <w:b w:val="0"/>
          <w:i w:val="0"/>
          <w:color w:val="1A1A1A"/>
          <w:sz w:val="24"/>
        </w:rPr>
        <w:t>O participante deve sair com instrumentos, não com brindes. A relação abaixo é a entrega mínima.</w:t>
      </w:r>
    </w:p>
    <w:p>
      <w:pPr>
        <w:pStyle w:val="ListBullet"/>
        <w:spacing w:after="60"/>
        <w:ind w:left="397"/>
        <w:jc w:val="both"/>
      </w:pPr>
      <w:r>
        <w:rPr>
          <w:rFonts w:ascii="Calibri" w:hAnsi="Calibri"/>
          <w:color w:val="1A1A1A"/>
          <w:sz w:val="24"/>
        </w:rPr>
        <w:t>Checklist de Segurança Clínica, documento 09, em formato de uso.</w:t>
      </w:r>
    </w:p>
    <w:p>
      <w:pPr>
        <w:pStyle w:val="ListBullet"/>
        <w:spacing w:after="60"/>
        <w:ind w:left="397"/>
        <w:jc w:val="both"/>
      </w:pPr>
      <w:r>
        <w:rPr>
          <w:rFonts w:ascii="Calibri" w:hAnsi="Calibri"/>
          <w:color w:val="1A1A1A"/>
          <w:sz w:val="24"/>
        </w:rPr>
        <w:t>Cartões de Consulta Rápida, documento 21, impressos em página única.</w:t>
      </w:r>
    </w:p>
    <w:p>
      <w:pPr>
        <w:pStyle w:val="ListBullet"/>
        <w:spacing w:after="60"/>
        <w:ind w:left="397"/>
        <w:jc w:val="both"/>
      </w:pPr>
      <w:r>
        <w:rPr>
          <w:rFonts w:ascii="Calibri" w:hAnsi="Calibri"/>
          <w:color w:val="1A1A1A"/>
          <w:sz w:val="24"/>
        </w:rPr>
        <w:t>Guia de Implantação no Serviço, documento 22, com a autoavaliação de quinze itens.</w:t>
      </w:r>
    </w:p>
    <w:p>
      <w:pPr>
        <w:pStyle w:val="ListBullet"/>
        <w:spacing w:after="60"/>
        <w:ind w:left="397"/>
        <w:jc w:val="both"/>
      </w:pPr>
      <w:r>
        <w:rPr>
          <w:rFonts w:ascii="Calibri" w:hAnsi="Calibri"/>
          <w:color w:val="1A1A1A"/>
          <w:sz w:val="24"/>
        </w:rPr>
        <w:t>Endereço de acesso ao acervo digital, conforme o documento 16, quando disponível.</w:t>
      </w:r>
    </w:p>
    <w:p>
      <w:pPr>
        <w:pStyle w:val="ListBullet"/>
        <w:spacing w:after="60"/>
        <w:ind w:left="397"/>
        <w:jc w:val="both"/>
      </w:pPr>
      <w:r>
        <w:rPr>
          <w:rFonts w:ascii="Calibri" w:hAnsi="Calibri"/>
          <w:color w:val="1A1A1A"/>
          <w:sz w:val="24"/>
        </w:rPr>
        <w:t>Formulário de escuta para sugestão de temas e tecnologias a avaliar.</w:t>
      </w:r>
    </w:p>
    <w:p>
      <w:pPr>
        <w:keepNext/>
        <w:spacing w:before="360" w:after="160"/>
        <w:jc w:val="left"/>
        <w:pBdr>
          <w:bottom w:val="single" w:sz="8" w:space="4" w:color="143C64"/>
        </w:pBdr>
      </w:pPr>
      <w:r>
        <w:rPr>
          <w:rFonts w:ascii="Calibri" w:hAnsi="Calibri"/>
          <w:b/>
          <w:color w:val="143C64"/>
          <w:sz w:val="30"/>
        </w:rPr>
        <w:t>6  Indicadores do evento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62"/>
        <w:gridCol w:w="2614"/>
        <w:gridCol w:w="2696"/>
      </w:tblGrid>
      <w:tr>
        <w:trPr>
          <w:cantSplit/>
          <w:tblHeader/>
        </w:trPr>
        <w:tc>
          <w:tcPr>
            <w:tcW w:type="dxa" w:w="3762"/>
            <w:shd w:val="clear" w:color="auto" w:fill="143C64"/>
          </w:tcPr>
          <w:p>
            <w:pPr>
              <w:spacing w:after="0"/>
              <w:jc w:val="left"/>
            </w:pPr>
            <w:r/>
            <w:r>
              <w:rPr>
                <w:rFonts w:ascii="Calibri" w:hAnsi="Calibri"/>
                <w:b/>
                <w:color w:val="FFFFFF"/>
                <w:sz w:val="24"/>
              </w:rPr>
              <w:t>Indicador</w:t>
            </w:r>
          </w:p>
        </w:tc>
        <w:tc>
          <w:tcPr>
            <w:tcW w:type="dxa" w:w="2614"/>
            <w:shd w:val="clear" w:color="auto" w:fill="143C64"/>
          </w:tcPr>
          <w:p>
            <w:pPr>
              <w:spacing w:after="0"/>
              <w:jc w:val="left"/>
            </w:pPr>
            <w:r/>
            <w:r>
              <w:rPr>
                <w:rFonts w:ascii="Calibri" w:hAnsi="Calibri"/>
                <w:b/>
                <w:color w:val="FFFFFF"/>
                <w:sz w:val="24"/>
              </w:rPr>
              <w:t>Meta</w:t>
            </w:r>
          </w:p>
        </w:tc>
        <w:tc>
          <w:tcPr>
            <w:tcW w:type="dxa" w:w="2696"/>
            <w:shd w:val="clear" w:color="auto" w:fill="143C64"/>
          </w:tcPr>
          <w:p>
            <w:pPr>
              <w:spacing w:after="0"/>
              <w:jc w:val="left"/>
            </w:pPr>
            <w:r/>
            <w:r>
              <w:rPr>
                <w:rFonts w:ascii="Calibri" w:hAnsi="Calibri"/>
                <w:b/>
                <w:color w:val="FFFFFF"/>
                <w:sz w:val="24"/>
              </w:rPr>
              <w:t>Fonte</w:t>
            </w:r>
          </w:p>
        </w:tc>
      </w:tr>
      <w:tr>
        <w:trPr>
          <w:cantSplit/>
        </w:trPr>
        <w:tc>
          <w:tcPr>
            <w:tcW w:type="dxa" w:w="3762"/>
          </w:tcPr>
          <w:p>
            <w:pPr>
              <w:spacing w:after="0"/>
              <w:jc w:val="left"/>
            </w:pPr>
            <w:r/>
            <w:r>
              <w:rPr>
                <w:rFonts w:ascii="Calibri" w:hAnsi="Calibri"/>
                <w:b w:val="0"/>
                <w:color w:val="1A1A1A"/>
                <w:sz w:val="24"/>
              </w:rPr>
              <w:t>Inscritos e participantes efetivos</w:t>
            </w:r>
          </w:p>
        </w:tc>
        <w:tc>
          <w:tcPr>
            <w:tcW w:type="dxa" w:w="2614"/>
          </w:tcPr>
          <w:p>
            <w:pPr>
              <w:spacing w:after="0"/>
              <w:jc w:val="left"/>
            </w:pPr>
            <w:r/>
            <w:r>
              <w:rPr>
                <w:rFonts w:ascii="Calibri" w:hAnsi="Calibri"/>
                <w:b w:val="0"/>
                <w:color w:val="1A1A1A"/>
                <w:sz w:val="24"/>
              </w:rPr>
              <w:t>___</w:t>
            </w:r>
          </w:p>
        </w:tc>
        <w:tc>
          <w:tcPr>
            <w:tcW w:type="dxa" w:w="2696"/>
          </w:tcPr>
          <w:p>
            <w:pPr>
              <w:spacing w:after="0"/>
              <w:jc w:val="left"/>
            </w:pPr>
            <w:r/>
            <w:r>
              <w:rPr>
                <w:rFonts w:ascii="Calibri" w:hAnsi="Calibri"/>
                <w:b w:val="0"/>
                <w:color w:val="1A1A1A"/>
                <w:sz w:val="24"/>
              </w:rPr>
              <w:t>Lista de presença</w:t>
            </w:r>
          </w:p>
        </w:tc>
      </w:tr>
      <w:tr>
        <w:trPr>
          <w:cantSplit/>
        </w:trPr>
        <w:tc>
          <w:tcPr>
            <w:tcW w:type="dxa" w:w="3762"/>
            <w:shd w:val="clear" w:color="auto" w:fill="F2F5F8"/>
          </w:tcPr>
          <w:p>
            <w:pPr>
              <w:spacing w:after="0"/>
              <w:jc w:val="left"/>
            </w:pPr>
            <w:r/>
            <w:r>
              <w:rPr>
                <w:rFonts w:ascii="Calibri" w:hAnsi="Calibri"/>
                <w:b w:val="0"/>
                <w:color w:val="1A1A1A"/>
                <w:sz w:val="24"/>
              </w:rPr>
              <w:t>Material do participante efetivamente entregue</w:t>
            </w:r>
          </w:p>
        </w:tc>
        <w:tc>
          <w:tcPr>
            <w:tcW w:type="dxa" w:w="2614"/>
            <w:shd w:val="clear" w:color="auto" w:fill="F2F5F8"/>
          </w:tcPr>
          <w:p>
            <w:pPr>
              <w:spacing w:after="0"/>
              <w:jc w:val="left"/>
            </w:pPr>
            <w:r/>
            <w:r>
              <w:rPr>
                <w:rFonts w:ascii="Calibri" w:hAnsi="Calibri"/>
                <w:b w:val="0"/>
                <w:color w:val="1A1A1A"/>
                <w:sz w:val="24"/>
              </w:rPr>
              <w:t>Cem por cento dos presentes</w:t>
            </w:r>
          </w:p>
        </w:tc>
        <w:tc>
          <w:tcPr>
            <w:tcW w:type="dxa" w:w="2696"/>
            <w:shd w:val="clear" w:color="auto" w:fill="F2F5F8"/>
          </w:tcPr>
          <w:p>
            <w:pPr>
              <w:spacing w:after="0"/>
              <w:jc w:val="left"/>
            </w:pPr>
            <w:r/>
            <w:r>
              <w:rPr>
                <w:rFonts w:ascii="Calibri" w:hAnsi="Calibri"/>
                <w:b w:val="0"/>
                <w:color w:val="1A1A1A"/>
                <w:sz w:val="24"/>
              </w:rPr>
              <w:t>Controle de entrega</w:t>
            </w:r>
          </w:p>
        </w:tc>
      </w:tr>
      <w:tr>
        <w:trPr>
          <w:cantSplit/>
        </w:trPr>
        <w:tc>
          <w:tcPr>
            <w:tcW w:type="dxa" w:w="3762"/>
          </w:tcPr>
          <w:p>
            <w:pPr>
              <w:spacing w:after="0"/>
              <w:jc w:val="left"/>
            </w:pPr>
            <w:r/>
            <w:r>
              <w:rPr>
                <w:rFonts w:ascii="Calibri" w:hAnsi="Calibri"/>
                <w:b w:val="0"/>
                <w:color w:val="1A1A1A"/>
                <w:sz w:val="24"/>
              </w:rPr>
              <w:t>Perguntas registradas na mesa de debate</w:t>
            </w:r>
          </w:p>
        </w:tc>
        <w:tc>
          <w:tcPr>
            <w:tcW w:type="dxa" w:w="2614"/>
          </w:tcPr>
          <w:p>
            <w:pPr>
              <w:spacing w:after="0"/>
              <w:jc w:val="left"/>
            </w:pPr>
            <w:r/>
            <w:r>
              <w:rPr>
                <w:rFonts w:ascii="Calibri" w:hAnsi="Calibri"/>
                <w:b w:val="0"/>
                <w:color w:val="1A1A1A"/>
                <w:sz w:val="24"/>
              </w:rPr>
              <w:t>___</w:t>
            </w:r>
          </w:p>
        </w:tc>
        <w:tc>
          <w:tcPr>
            <w:tcW w:type="dxa" w:w="2696"/>
          </w:tcPr>
          <w:p>
            <w:pPr>
              <w:spacing w:after="0"/>
              <w:jc w:val="left"/>
            </w:pPr>
            <w:r/>
            <w:r>
              <w:rPr>
                <w:rFonts w:ascii="Calibri" w:hAnsi="Calibri"/>
                <w:b w:val="0"/>
                <w:color w:val="1A1A1A"/>
                <w:sz w:val="24"/>
              </w:rPr>
              <w:t>Registro da mediação</w:t>
            </w:r>
          </w:p>
        </w:tc>
      </w:tr>
      <w:tr>
        <w:trPr>
          <w:cantSplit/>
        </w:trPr>
        <w:tc>
          <w:tcPr>
            <w:tcW w:type="dxa" w:w="3762"/>
            <w:shd w:val="clear" w:color="auto" w:fill="F2F5F8"/>
          </w:tcPr>
          <w:p>
            <w:pPr>
              <w:spacing w:after="0"/>
              <w:jc w:val="left"/>
            </w:pPr>
            <w:r/>
            <w:r>
              <w:rPr>
                <w:rFonts w:ascii="Calibri" w:hAnsi="Calibri"/>
                <w:b w:val="0"/>
                <w:color w:val="1A1A1A"/>
                <w:sz w:val="24"/>
              </w:rPr>
              <w:t>Serviços que declaram intenção de aplicar o guia de implantação</w:t>
            </w:r>
          </w:p>
        </w:tc>
        <w:tc>
          <w:tcPr>
            <w:tcW w:type="dxa" w:w="2614"/>
            <w:shd w:val="clear" w:color="auto" w:fill="F2F5F8"/>
          </w:tcPr>
          <w:p>
            <w:pPr>
              <w:spacing w:after="0"/>
              <w:jc w:val="left"/>
            </w:pPr>
            <w:r/>
            <w:r>
              <w:rPr>
                <w:rFonts w:ascii="Calibri" w:hAnsi="Calibri"/>
                <w:b w:val="0"/>
                <w:color w:val="1A1A1A"/>
                <w:sz w:val="24"/>
              </w:rPr>
              <w:t>___</w:t>
            </w:r>
          </w:p>
        </w:tc>
        <w:tc>
          <w:tcPr>
            <w:tcW w:type="dxa" w:w="2696"/>
            <w:shd w:val="clear" w:color="auto" w:fill="F2F5F8"/>
          </w:tcPr>
          <w:p>
            <w:pPr>
              <w:spacing w:after="0"/>
              <w:jc w:val="left"/>
            </w:pPr>
            <w:r/>
            <w:r>
              <w:rPr>
                <w:rFonts w:ascii="Calibri" w:hAnsi="Calibri"/>
                <w:b w:val="0"/>
                <w:color w:val="1A1A1A"/>
                <w:sz w:val="24"/>
              </w:rPr>
              <w:t>Formulário de escuta</w:t>
            </w:r>
          </w:p>
        </w:tc>
      </w:tr>
      <w:tr>
        <w:trPr>
          <w:cantSplit/>
        </w:trPr>
        <w:tc>
          <w:tcPr>
            <w:tcW w:type="dxa" w:w="3762"/>
          </w:tcPr>
          <w:p>
            <w:pPr>
              <w:spacing w:after="0"/>
              <w:jc w:val="left"/>
            </w:pPr>
            <w:r/>
            <w:r>
              <w:rPr>
                <w:rFonts w:ascii="Calibri" w:hAnsi="Calibri"/>
                <w:b w:val="0"/>
                <w:color w:val="1A1A1A"/>
                <w:sz w:val="24"/>
              </w:rPr>
              <w:t>Ata de entrega lavrada e assinada</w:t>
            </w:r>
          </w:p>
        </w:tc>
        <w:tc>
          <w:tcPr>
            <w:tcW w:type="dxa" w:w="2614"/>
          </w:tcPr>
          <w:p>
            <w:pPr>
              <w:spacing w:after="0"/>
              <w:jc w:val="left"/>
            </w:pPr>
            <w:r/>
            <w:r>
              <w:rPr>
                <w:rFonts w:ascii="Calibri" w:hAnsi="Calibri"/>
                <w:b w:val="0"/>
                <w:color w:val="1A1A1A"/>
                <w:sz w:val="24"/>
              </w:rPr>
              <w:t>Uma</w:t>
            </w:r>
          </w:p>
        </w:tc>
        <w:tc>
          <w:tcPr>
            <w:tcW w:type="dxa" w:w="2696"/>
          </w:tcPr>
          <w:p>
            <w:pPr>
              <w:spacing w:after="0"/>
              <w:jc w:val="left"/>
            </w:pPr>
            <w:r/>
            <w:r>
              <w:rPr>
                <w:rFonts w:ascii="Calibri" w:hAnsi="Calibri"/>
                <w:b w:val="0"/>
                <w:color w:val="1A1A1A"/>
                <w:sz w:val="24"/>
              </w:rPr>
              <w:t>Ata do evento</w:t>
            </w:r>
          </w:p>
        </w:tc>
      </w:tr>
      <w:tr>
        <w:trPr>
          <w:cantSplit/>
        </w:trPr>
        <w:tc>
          <w:tcPr>
            <w:tcW w:type="dxa" w:w="3762"/>
            <w:shd w:val="clear" w:color="auto" w:fill="F2F5F8"/>
          </w:tcPr>
          <w:p>
            <w:pPr>
              <w:spacing w:after="0"/>
              <w:jc w:val="left"/>
            </w:pPr>
            <w:r/>
            <w:r>
              <w:rPr>
                <w:rFonts w:ascii="Calibri" w:hAnsi="Calibri"/>
                <w:b w:val="0"/>
                <w:color w:val="1A1A1A"/>
                <w:sz w:val="24"/>
              </w:rPr>
              <w:t>Avaliação do participante</w:t>
            </w:r>
          </w:p>
        </w:tc>
        <w:tc>
          <w:tcPr>
            <w:tcW w:type="dxa" w:w="2614"/>
            <w:shd w:val="clear" w:color="auto" w:fill="F2F5F8"/>
          </w:tcPr>
          <w:p>
            <w:pPr>
              <w:spacing w:after="0"/>
              <w:jc w:val="left"/>
            </w:pPr>
            <w:r/>
            <w:r>
              <w:rPr>
                <w:rFonts w:ascii="Calibri" w:hAnsi="Calibri"/>
                <w:b w:val="0"/>
                <w:color w:val="1A1A1A"/>
                <w:sz w:val="24"/>
              </w:rPr>
              <w:t>___</w:t>
            </w:r>
          </w:p>
        </w:tc>
        <w:tc>
          <w:tcPr>
            <w:tcW w:type="dxa" w:w="2696"/>
            <w:shd w:val="clear" w:color="auto" w:fill="F2F5F8"/>
          </w:tcPr>
          <w:p>
            <w:pPr>
              <w:spacing w:after="0"/>
              <w:jc w:val="left"/>
            </w:pPr>
            <w:r/>
            <w:r>
              <w:rPr>
                <w:rFonts w:ascii="Calibri" w:hAnsi="Calibri"/>
                <w:b w:val="0"/>
                <w:color w:val="1A1A1A"/>
                <w:sz w:val="24"/>
              </w:rPr>
              <w:t>Formulário de avaliação</w:t>
            </w:r>
          </w:p>
        </w:tc>
      </w:tr>
    </w:tbl>
    <w:p>
      <w:pPr>
        <w:keepNext/>
        <w:spacing w:before="360" w:after="160"/>
        <w:jc w:val="left"/>
        <w:pBdr>
          <w:bottom w:val="single" w:sz="8" w:space="4" w:color="143C64"/>
        </w:pBdr>
      </w:pPr>
      <w:r>
        <w:rPr>
          <w:rFonts w:ascii="Calibri" w:hAnsi="Calibri"/>
          <w:b/>
          <w:color w:val="143C64"/>
          <w:sz w:val="30"/>
        </w:rPr>
        <w:t>7  Ata de entrega oficial</w:t>
      </w:r>
    </w:p>
    <w:p>
      <w:pPr>
        <w:spacing w:after="120"/>
        <w:jc w:val="both"/>
      </w:pPr>
      <w:r>
        <w:rPr>
          <w:rFonts w:ascii="Calibri" w:hAnsi="Calibri"/>
          <w:b w:val="0"/>
          <w:i w:val="0"/>
          <w:color w:val="1A1A1A"/>
          <w:sz w:val="24"/>
        </w:rPr>
        <w:t>Peça que cumpre o indicador da M11. Deve ser lavrada no próprio evento.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945"/>
        <w:gridCol w:w="5127"/>
      </w:tblGrid>
      <w:tr>
        <w:trPr>
          <w:cantSplit/>
          <w:tblHeader/>
        </w:trPr>
        <w:tc>
          <w:tcPr>
            <w:tcW w:type="dxa" w:w="3945"/>
            <w:shd w:val="clear" w:color="auto" w:fill="143C64"/>
          </w:tcPr>
          <w:p>
            <w:pPr>
              <w:spacing w:after="0"/>
              <w:jc w:val="left"/>
            </w:pPr>
            <w:r/>
            <w:r>
              <w:rPr>
                <w:rFonts w:ascii="Calibri" w:hAnsi="Calibri"/>
                <w:b/>
                <w:color w:val="FFFFFF"/>
                <w:sz w:val="24"/>
              </w:rPr>
              <w:t>Campo</w:t>
            </w:r>
          </w:p>
        </w:tc>
        <w:tc>
          <w:tcPr>
            <w:tcW w:type="dxa" w:w="5127"/>
            <w:shd w:val="clear" w:color="auto" w:fill="143C64"/>
          </w:tcPr>
          <w:p>
            <w:pPr>
              <w:spacing w:after="0"/>
              <w:jc w:val="left"/>
            </w:pPr>
            <w:r/>
            <w:r>
              <w:rPr>
                <w:rFonts w:ascii="Calibri" w:hAnsi="Calibri"/>
                <w:b/>
                <w:color w:val="FFFFFF"/>
                <w:sz w:val="24"/>
              </w:rPr>
              <w:t>Registro</w:t>
            </w:r>
          </w:p>
        </w:tc>
      </w:tr>
      <w:tr>
        <w:trPr>
          <w:cantSplit/>
        </w:trPr>
        <w:tc>
          <w:tcPr>
            <w:tcW w:type="dxa" w:w="3945"/>
          </w:tcPr>
          <w:p>
            <w:pPr>
              <w:spacing w:after="0"/>
              <w:jc w:val="left"/>
            </w:pPr>
            <w:r/>
            <w:r>
              <w:rPr>
                <w:rFonts w:ascii="Calibri" w:hAnsi="Calibri"/>
                <w:b w:val="0"/>
                <w:color w:val="1A1A1A"/>
                <w:sz w:val="24"/>
              </w:rPr>
              <w:t>Evento</w:t>
            </w:r>
          </w:p>
        </w:tc>
        <w:tc>
          <w:tcPr>
            <w:tcW w:type="dxa" w:w="5127"/>
          </w:tcPr>
          <w:p>
            <w:pPr>
              <w:spacing w:after="0"/>
              <w:jc w:val="left"/>
            </w:pPr>
            <w:r/>
            <w:r>
              <w:rPr>
                <w:rFonts w:ascii="Calibri" w:hAnsi="Calibri"/>
                <w:b w:val="0"/>
                <w:color w:val="1A1A1A"/>
                <w:sz w:val="24"/>
              </w:rPr>
              <w:t>Fórum de Tecnologias Emergentes em Harmonização Orofacial</w:t>
            </w:r>
          </w:p>
        </w:tc>
      </w:tr>
      <w:tr>
        <w:trPr>
          <w:cantSplit/>
        </w:trPr>
        <w:tc>
          <w:tcPr>
            <w:tcW w:type="dxa" w:w="3945"/>
            <w:shd w:val="clear" w:color="auto" w:fill="F2F5F8"/>
          </w:tcPr>
          <w:p>
            <w:pPr>
              <w:spacing w:after="0"/>
              <w:jc w:val="left"/>
            </w:pPr>
            <w:r/>
            <w:r>
              <w:rPr>
                <w:rFonts w:ascii="Calibri" w:hAnsi="Calibri"/>
                <w:b w:val="0"/>
                <w:color w:val="1A1A1A"/>
                <w:sz w:val="24"/>
              </w:rPr>
              <w:t>Data, horário e local</w:t>
            </w:r>
          </w:p>
        </w:tc>
        <w:tc>
          <w:tcPr>
            <w:tcW w:type="dxa" w:w="5127"/>
            <w:shd w:val="clear" w:color="auto" w:fill="F2F5F8"/>
          </w:tcPr>
          <w:p>
            <w:pPr>
              <w:spacing w:after="0"/>
              <w:jc w:val="left"/>
            </w:pPr>
            <w:r/>
            <w:r>
              <w:rPr>
                <w:rFonts w:ascii="Calibri" w:hAnsi="Calibri"/>
                <w:b w:val="0"/>
                <w:color w:val="1A1A1A"/>
                <w:sz w:val="24"/>
              </w:rPr>
              <w:t>___</w:t>
            </w:r>
          </w:p>
        </w:tc>
      </w:tr>
      <w:tr>
        <w:trPr>
          <w:cantSplit/>
        </w:trPr>
        <w:tc>
          <w:tcPr>
            <w:tcW w:type="dxa" w:w="3945"/>
          </w:tcPr>
          <w:p>
            <w:pPr>
              <w:spacing w:after="0"/>
              <w:jc w:val="left"/>
            </w:pPr>
            <w:r/>
            <w:r>
              <w:rPr>
                <w:rFonts w:ascii="Calibri" w:hAnsi="Calibri"/>
                <w:b w:val="0"/>
                <w:color w:val="1A1A1A"/>
                <w:sz w:val="24"/>
              </w:rPr>
              <w:t>Presentes pela Diretoria Executiva</w:t>
            </w:r>
          </w:p>
        </w:tc>
        <w:tc>
          <w:tcPr>
            <w:tcW w:type="dxa" w:w="5127"/>
          </w:tcPr>
          <w:p>
            <w:pPr>
              <w:spacing w:after="0"/>
              <w:jc w:val="left"/>
            </w:pPr>
            <w:r/>
            <w:r>
              <w:rPr>
                <w:rFonts w:ascii="Calibri" w:hAnsi="Calibri"/>
                <w:b w:val="0"/>
                <w:color w:val="1A1A1A"/>
                <w:sz w:val="24"/>
              </w:rPr>
              <w:t>___</w:t>
            </w:r>
          </w:p>
        </w:tc>
      </w:tr>
      <w:tr>
        <w:trPr>
          <w:cantSplit/>
        </w:trPr>
        <w:tc>
          <w:tcPr>
            <w:tcW w:type="dxa" w:w="3945"/>
            <w:shd w:val="clear" w:color="auto" w:fill="F2F5F8"/>
          </w:tcPr>
          <w:p>
            <w:pPr>
              <w:spacing w:after="0"/>
              <w:jc w:val="left"/>
            </w:pPr>
            <w:r/>
            <w:r>
              <w:rPr>
                <w:rFonts w:ascii="Calibri" w:hAnsi="Calibri"/>
                <w:b w:val="0"/>
                <w:color w:val="1A1A1A"/>
                <w:sz w:val="24"/>
              </w:rPr>
              <w:t>Presentes pela Câmara Técnica e pelo Núcleo 5</w:t>
            </w:r>
          </w:p>
        </w:tc>
        <w:tc>
          <w:tcPr>
            <w:tcW w:type="dxa" w:w="5127"/>
            <w:shd w:val="clear" w:color="auto" w:fill="F2F5F8"/>
          </w:tcPr>
          <w:p>
            <w:pPr>
              <w:spacing w:after="0"/>
              <w:jc w:val="left"/>
            </w:pPr>
            <w:r/>
            <w:r>
              <w:rPr>
                <w:rFonts w:ascii="Calibri" w:hAnsi="Calibri"/>
                <w:b w:val="0"/>
                <w:color w:val="1A1A1A"/>
                <w:sz w:val="24"/>
              </w:rPr>
              <w:t>___</w:t>
            </w:r>
          </w:p>
        </w:tc>
      </w:tr>
      <w:tr>
        <w:trPr>
          <w:cantSplit/>
        </w:trPr>
        <w:tc>
          <w:tcPr>
            <w:tcW w:type="dxa" w:w="3945"/>
          </w:tcPr>
          <w:p>
            <w:pPr>
              <w:spacing w:after="0"/>
              <w:jc w:val="left"/>
            </w:pPr>
            <w:r/>
            <w:r>
              <w:rPr>
                <w:rFonts w:ascii="Calibri" w:hAnsi="Calibri"/>
                <w:b w:val="0"/>
                <w:color w:val="1A1A1A"/>
                <w:sz w:val="24"/>
              </w:rPr>
              <w:t>Número de participantes</w:t>
            </w:r>
          </w:p>
        </w:tc>
        <w:tc>
          <w:tcPr>
            <w:tcW w:type="dxa" w:w="5127"/>
          </w:tcPr>
          <w:p>
            <w:pPr>
              <w:spacing w:after="0"/>
              <w:jc w:val="left"/>
            </w:pPr>
            <w:r/>
            <w:r>
              <w:rPr>
                <w:rFonts w:ascii="Calibri" w:hAnsi="Calibri"/>
                <w:b w:val="0"/>
                <w:color w:val="1A1A1A"/>
                <w:sz w:val="24"/>
              </w:rPr>
              <w:t>___</w:t>
            </w:r>
          </w:p>
        </w:tc>
      </w:tr>
      <w:tr>
        <w:trPr>
          <w:cantSplit/>
        </w:trPr>
        <w:tc>
          <w:tcPr>
            <w:tcW w:type="dxa" w:w="3945"/>
            <w:shd w:val="clear" w:color="auto" w:fill="F2F5F8"/>
          </w:tcPr>
          <w:p>
            <w:pPr>
              <w:spacing w:after="0"/>
              <w:jc w:val="left"/>
            </w:pPr>
            <w:r/>
            <w:r>
              <w:rPr>
                <w:rFonts w:ascii="Calibri" w:hAnsi="Calibri"/>
                <w:b w:val="0"/>
                <w:color w:val="1A1A1A"/>
                <w:sz w:val="24"/>
              </w:rPr>
              <w:t>Produtos entregues</w:t>
            </w:r>
          </w:p>
        </w:tc>
        <w:tc>
          <w:tcPr>
            <w:tcW w:type="dxa" w:w="5127"/>
            <w:shd w:val="clear" w:color="auto" w:fill="F2F5F8"/>
          </w:tcPr>
          <w:p>
            <w:pPr>
              <w:spacing w:after="0"/>
              <w:jc w:val="left"/>
            </w:pPr>
            <w:r/>
            <w:r>
              <w:rPr>
                <w:rFonts w:ascii="Calibri" w:hAnsi="Calibri"/>
                <w:b w:val="0"/>
                <w:color w:val="1A1A1A"/>
                <w:sz w:val="24"/>
              </w:rPr>
              <w:t>Relação constante do documento 25, anexo I</w:t>
            </w:r>
          </w:p>
        </w:tc>
      </w:tr>
      <w:tr>
        <w:trPr>
          <w:cantSplit/>
        </w:trPr>
        <w:tc>
          <w:tcPr>
            <w:tcW w:type="dxa" w:w="3945"/>
          </w:tcPr>
          <w:p>
            <w:pPr>
              <w:spacing w:after="0"/>
              <w:jc w:val="left"/>
            </w:pPr>
            <w:r/>
            <w:r>
              <w:rPr>
                <w:rFonts w:ascii="Calibri" w:hAnsi="Calibri"/>
                <w:b w:val="0"/>
                <w:color w:val="1A1A1A"/>
                <w:sz w:val="24"/>
              </w:rPr>
              <w:t>Manifestações registradas</w:t>
            </w:r>
          </w:p>
        </w:tc>
        <w:tc>
          <w:tcPr>
            <w:tcW w:type="dxa" w:w="5127"/>
          </w:tcPr>
          <w:p>
            <w:pPr>
              <w:spacing w:after="0"/>
              <w:jc w:val="left"/>
            </w:pPr>
            <w:r/>
            <w:r>
              <w:rPr>
                <w:rFonts w:ascii="Calibri" w:hAnsi="Calibri"/>
                <w:b w:val="0"/>
                <w:color w:val="1A1A1A"/>
                <w:sz w:val="24"/>
              </w:rPr>
              <w:t>___</w:t>
            </w:r>
          </w:p>
        </w:tc>
      </w:tr>
      <w:tr>
        <w:trPr>
          <w:cantSplit/>
        </w:trPr>
        <w:tc>
          <w:tcPr>
            <w:tcW w:type="dxa" w:w="3945"/>
            <w:shd w:val="clear" w:color="auto" w:fill="F2F5F8"/>
          </w:tcPr>
          <w:p>
            <w:pPr>
              <w:spacing w:after="0"/>
              <w:jc w:val="left"/>
            </w:pPr>
            <w:r/>
            <w:r>
              <w:rPr>
                <w:rFonts w:ascii="Calibri" w:hAnsi="Calibri"/>
                <w:b w:val="0"/>
                <w:color w:val="1A1A1A"/>
                <w:sz w:val="24"/>
              </w:rPr>
              <w:t>Agenda pactuada para o ciclo seguinte</w:t>
            </w:r>
          </w:p>
        </w:tc>
        <w:tc>
          <w:tcPr>
            <w:tcW w:type="dxa" w:w="5127"/>
            <w:shd w:val="clear" w:color="auto" w:fill="F2F5F8"/>
          </w:tcPr>
          <w:p>
            <w:pPr>
              <w:spacing w:after="0"/>
              <w:jc w:val="left"/>
            </w:pPr>
            <w:r/>
            <w:r>
              <w:rPr>
                <w:rFonts w:ascii="Calibri" w:hAnsi="Calibri"/>
                <w:b w:val="0"/>
                <w:color w:val="1A1A1A"/>
                <w:sz w:val="24"/>
              </w:rPr>
              <w:t>___</w:t>
            </w:r>
          </w:p>
        </w:tc>
      </w:tr>
      <w:tr>
        <w:trPr>
          <w:cantSplit/>
        </w:trPr>
        <w:tc>
          <w:tcPr>
            <w:tcW w:type="dxa" w:w="3945"/>
          </w:tcPr>
          <w:p>
            <w:pPr>
              <w:spacing w:after="0"/>
              <w:jc w:val="left"/>
            </w:pPr>
            <w:r/>
            <w:r>
              <w:rPr>
                <w:rFonts w:ascii="Calibri" w:hAnsi="Calibri"/>
                <w:b w:val="0"/>
                <w:color w:val="1A1A1A"/>
                <w:sz w:val="24"/>
              </w:rPr>
              <w:t>Encerramento</w:t>
            </w:r>
          </w:p>
        </w:tc>
        <w:tc>
          <w:tcPr>
            <w:tcW w:type="dxa" w:w="5127"/>
          </w:tcPr>
          <w:p>
            <w:pPr>
              <w:spacing w:after="0"/>
              <w:jc w:val="left"/>
            </w:pPr>
            <w:r/>
            <w:r>
              <w:rPr>
                <w:rFonts w:ascii="Calibri" w:hAnsi="Calibri"/>
                <w:b w:val="0"/>
                <w:color w:val="1A1A1A"/>
                <w:sz w:val="24"/>
              </w:rPr>
              <w:t>___</w:t>
            </w:r>
          </w:p>
        </w:tc>
      </w:tr>
    </w:tbl>
    <w:p>
      <w:pPr>
        <w:spacing w:after="120"/>
      </w:pP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10"/>
        <w:gridCol w:w="3599"/>
        <w:gridCol w:w="1864"/>
      </w:tblGrid>
      <w:tr>
        <w:trPr>
          <w:cantSplit/>
          <w:tblHeader/>
        </w:trPr>
        <w:tc>
          <w:tcPr>
            <w:tcW w:type="dxa" w:w="3610"/>
            <w:shd w:val="clear" w:color="auto" w:fill="143C64"/>
          </w:tcPr>
          <w:p>
            <w:pPr>
              <w:spacing w:after="0"/>
              <w:jc w:val="left"/>
            </w:pPr>
            <w:r/>
            <w:r>
              <w:rPr>
                <w:rFonts w:ascii="Calibri" w:hAnsi="Calibri"/>
                <w:b/>
                <w:color w:val="FFFFFF"/>
                <w:sz w:val="24"/>
              </w:rPr>
              <w:t>Assinatura</w:t>
            </w:r>
          </w:p>
        </w:tc>
        <w:tc>
          <w:tcPr>
            <w:tcW w:type="dxa" w:w="3599"/>
            <w:shd w:val="clear" w:color="auto" w:fill="143C64"/>
          </w:tcPr>
          <w:p>
            <w:pPr>
              <w:spacing w:after="0"/>
              <w:jc w:val="left"/>
            </w:pPr>
            <w:r/>
            <w:r>
              <w:rPr>
                <w:rFonts w:ascii="Calibri" w:hAnsi="Calibri"/>
                <w:b/>
                <w:color w:val="FFFFFF"/>
                <w:sz w:val="24"/>
              </w:rPr>
              <w:t>Nome e cargo</w:t>
            </w:r>
          </w:p>
        </w:tc>
        <w:tc>
          <w:tcPr>
            <w:tcW w:type="dxa" w:w="1864"/>
            <w:shd w:val="clear" w:color="auto" w:fill="143C64"/>
          </w:tcPr>
          <w:p>
            <w:pPr>
              <w:spacing w:after="0"/>
              <w:jc w:val="left"/>
            </w:pPr>
            <w:r/>
            <w:r>
              <w:rPr>
                <w:rFonts w:ascii="Calibri" w:hAnsi="Calibri"/>
                <w:b/>
                <w:color w:val="FFFFFF"/>
                <w:sz w:val="24"/>
              </w:rPr>
              <w:t>Data</w:t>
            </w:r>
          </w:p>
        </w:tc>
      </w:tr>
      <w:tr>
        <w:trPr>
          <w:cantSplit/>
        </w:trPr>
        <w:tc>
          <w:tcPr>
            <w:tcW w:type="dxa" w:w="3610"/>
          </w:tcPr>
          <w:p>
            <w:pPr>
              <w:spacing w:after="0"/>
              <w:jc w:val="left"/>
            </w:pPr>
            <w:r/>
            <w:r>
              <w:rPr>
                <w:rFonts w:ascii="Calibri" w:hAnsi="Calibri"/>
                <w:b w:val="0"/>
                <w:color w:val="1A1A1A"/>
                <w:sz w:val="24"/>
              </w:rPr>
              <w:t>Pela Diretoria Executiva</w:t>
            </w:r>
          </w:p>
        </w:tc>
        <w:tc>
          <w:tcPr>
            <w:tcW w:type="dxa" w:w="3599"/>
          </w:tcPr>
          <w:p>
            <w:pPr>
              <w:spacing w:after="0"/>
              <w:jc w:val="left"/>
            </w:pPr>
            <w:r/>
            <w:r>
              <w:rPr>
                <w:rFonts w:ascii="Calibri" w:hAnsi="Calibri"/>
                <w:b w:val="0"/>
                <w:color w:val="1A1A1A"/>
                <w:sz w:val="24"/>
              </w:rPr>
              <w:t>___</w:t>
            </w:r>
          </w:p>
        </w:tc>
        <w:tc>
          <w:tcPr>
            <w:tcW w:type="dxa" w:w="1864"/>
          </w:tcPr>
          <w:p>
            <w:pPr>
              <w:spacing w:after="0"/>
              <w:jc w:val="left"/>
            </w:pPr>
            <w:r/>
            <w:r>
              <w:rPr>
                <w:rFonts w:ascii="Calibri" w:hAnsi="Calibri"/>
                <w:b w:val="0"/>
                <w:color w:val="1A1A1A"/>
                <w:sz w:val="24"/>
              </w:rPr>
              <w:t>___</w:t>
            </w:r>
          </w:p>
        </w:tc>
      </w:tr>
      <w:tr>
        <w:trPr>
          <w:cantSplit/>
        </w:trPr>
        <w:tc>
          <w:tcPr>
            <w:tcW w:type="dxa" w:w="3610"/>
            <w:shd w:val="clear" w:color="auto" w:fill="F2F5F8"/>
          </w:tcPr>
          <w:p>
            <w:pPr>
              <w:spacing w:after="0"/>
              <w:jc w:val="left"/>
            </w:pPr>
            <w:r/>
            <w:r>
              <w:rPr>
                <w:rFonts w:ascii="Calibri" w:hAnsi="Calibri"/>
                <w:b w:val="0"/>
                <w:color w:val="1A1A1A"/>
                <w:sz w:val="24"/>
              </w:rPr>
              <w:t>Pela Câmara Técnica de HOF</w:t>
            </w:r>
          </w:p>
        </w:tc>
        <w:tc>
          <w:tcPr>
            <w:tcW w:type="dxa" w:w="3599"/>
            <w:shd w:val="clear" w:color="auto" w:fill="F2F5F8"/>
          </w:tcPr>
          <w:p>
            <w:pPr>
              <w:spacing w:after="0"/>
              <w:jc w:val="left"/>
            </w:pPr>
            <w:r/>
            <w:r>
              <w:rPr>
                <w:rFonts w:ascii="Calibri" w:hAnsi="Calibri"/>
                <w:b w:val="0"/>
                <w:color w:val="1A1A1A"/>
                <w:sz w:val="24"/>
              </w:rPr>
              <w:t>___</w:t>
            </w:r>
          </w:p>
        </w:tc>
        <w:tc>
          <w:tcPr>
            <w:tcW w:type="dxa" w:w="1864"/>
            <w:shd w:val="clear" w:color="auto" w:fill="F2F5F8"/>
          </w:tcPr>
          <w:p>
            <w:pPr>
              <w:spacing w:after="0"/>
              <w:jc w:val="left"/>
            </w:pPr>
            <w:r/>
            <w:r>
              <w:rPr>
                <w:rFonts w:ascii="Calibri" w:hAnsi="Calibri"/>
                <w:b w:val="0"/>
                <w:color w:val="1A1A1A"/>
                <w:sz w:val="24"/>
              </w:rPr>
              <w:t>___</w:t>
            </w:r>
          </w:p>
        </w:tc>
      </w:tr>
      <w:tr>
        <w:trPr>
          <w:cantSplit/>
        </w:trPr>
        <w:tc>
          <w:tcPr>
            <w:tcW w:type="dxa" w:w="3610"/>
          </w:tcPr>
          <w:p>
            <w:pPr>
              <w:spacing w:after="0"/>
              <w:jc w:val="left"/>
            </w:pPr>
            <w:r/>
            <w:r>
              <w:rPr>
                <w:rFonts w:ascii="Calibri" w:hAnsi="Calibri"/>
                <w:b w:val="0"/>
                <w:color w:val="1A1A1A"/>
                <w:sz w:val="24"/>
              </w:rPr>
              <w:t>Pelo Núcleo 5</w:t>
            </w:r>
          </w:p>
        </w:tc>
        <w:tc>
          <w:tcPr>
            <w:tcW w:type="dxa" w:w="3599"/>
          </w:tcPr>
          <w:p>
            <w:pPr>
              <w:spacing w:after="0"/>
              <w:jc w:val="left"/>
            </w:pPr>
            <w:r/>
            <w:r>
              <w:rPr>
                <w:rFonts w:ascii="Calibri" w:hAnsi="Calibri"/>
                <w:b w:val="0"/>
                <w:color w:val="1A1A1A"/>
                <w:sz w:val="24"/>
              </w:rPr>
              <w:t>___</w:t>
            </w:r>
          </w:p>
        </w:tc>
        <w:tc>
          <w:tcPr>
            <w:tcW w:type="dxa" w:w="1864"/>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8  Riscos do evento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023"/>
        <w:gridCol w:w="5049"/>
      </w:tblGrid>
      <w:tr>
        <w:trPr>
          <w:cantSplit/>
          <w:tblHeader/>
        </w:trPr>
        <w:tc>
          <w:tcPr>
            <w:tcW w:type="dxa" w:w="4023"/>
            <w:shd w:val="clear" w:color="auto" w:fill="143C64"/>
          </w:tcPr>
          <w:p>
            <w:pPr>
              <w:spacing w:after="0"/>
              <w:jc w:val="left"/>
            </w:pPr>
            <w:r/>
            <w:r>
              <w:rPr>
                <w:rFonts w:ascii="Calibri" w:hAnsi="Calibri"/>
                <w:b/>
                <w:color w:val="FFFFFF"/>
                <w:sz w:val="24"/>
              </w:rPr>
              <w:t>Risco</w:t>
            </w:r>
          </w:p>
        </w:tc>
        <w:tc>
          <w:tcPr>
            <w:tcW w:type="dxa" w:w="5049"/>
            <w:shd w:val="clear" w:color="auto" w:fill="143C64"/>
          </w:tcPr>
          <w:p>
            <w:pPr>
              <w:spacing w:after="0"/>
              <w:jc w:val="left"/>
            </w:pPr>
            <w:r/>
            <w:r>
              <w:rPr>
                <w:rFonts w:ascii="Calibri" w:hAnsi="Calibri"/>
                <w:b/>
                <w:color w:val="FFFFFF"/>
                <w:sz w:val="24"/>
              </w:rPr>
              <w:t>Mitigação</w:t>
            </w:r>
          </w:p>
        </w:tc>
      </w:tr>
      <w:tr>
        <w:trPr>
          <w:cantSplit/>
        </w:trPr>
        <w:tc>
          <w:tcPr>
            <w:tcW w:type="dxa" w:w="4023"/>
          </w:tcPr>
          <w:p>
            <w:pPr>
              <w:spacing w:after="0"/>
              <w:jc w:val="left"/>
            </w:pPr>
            <w:r/>
            <w:r>
              <w:rPr>
                <w:rFonts w:ascii="Calibri" w:hAnsi="Calibri"/>
                <w:b w:val="0"/>
                <w:color w:val="1A1A1A"/>
                <w:sz w:val="24"/>
              </w:rPr>
              <w:t>Data em dezembro concorrendo com agenda de fim de ano.</w:t>
            </w:r>
          </w:p>
        </w:tc>
        <w:tc>
          <w:tcPr>
            <w:tcW w:type="dxa" w:w="5049"/>
          </w:tcPr>
          <w:p>
            <w:pPr>
              <w:spacing w:after="0"/>
              <w:jc w:val="left"/>
            </w:pPr>
            <w:r/>
            <w:r>
              <w:rPr>
                <w:rFonts w:ascii="Calibri" w:hAnsi="Calibri"/>
                <w:b w:val="0"/>
                <w:color w:val="1A1A1A"/>
                <w:sz w:val="24"/>
              </w:rPr>
              <w:t>Definir a data até 30 de setembro e comunicar com antecedência.</w:t>
            </w:r>
          </w:p>
        </w:tc>
      </w:tr>
      <w:tr>
        <w:trPr>
          <w:cantSplit/>
        </w:trPr>
        <w:tc>
          <w:tcPr>
            <w:tcW w:type="dxa" w:w="4023"/>
            <w:shd w:val="clear" w:color="auto" w:fill="F2F5F8"/>
          </w:tcPr>
          <w:p>
            <w:pPr>
              <w:spacing w:after="0"/>
              <w:jc w:val="left"/>
            </w:pPr>
            <w:r/>
            <w:r>
              <w:rPr>
                <w:rFonts w:ascii="Calibri" w:hAnsi="Calibri"/>
                <w:b w:val="0"/>
                <w:color w:val="1A1A1A"/>
                <w:sz w:val="24"/>
              </w:rPr>
              <w:t>Conteúdo excessivo para quatro horas.</w:t>
            </w:r>
          </w:p>
        </w:tc>
        <w:tc>
          <w:tcPr>
            <w:tcW w:type="dxa" w:w="5049"/>
            <w:shd w:val="clear" w:color="auto" w:fill="F2F5F8"/>
          </w:tcPr>
          <w:p>
            <w:pPr>
              <w:spacing w:after="0"/>
              <w:jc w:val="left"/>
            </w:pPr>
            <w:r/>
            <w:r>
              <w:rPr>
                <w:rFonts w:ascii="Calibri" w:hAnsi="Calibri"/>
                <w:b w:val="0"/>
                <w:color w:val="1A1A1A"/>
                <w:sz w:val="24"/>
              </w:rPr>
              <w:t>Priorizar segurança clínica e implantação. Conformidade regulatória pode ir para material escrito.</w:t>
            </w:r>
          </w:p>
        </w:tc>
      </w:tr>
      <w:tr>
        <w:trPr>
          <w:cantSplit/>
        </w:trPr>
        <w:tc>
          <w:tcPr>
            <w:tcW w:type="dxa" w:w="4023"/>
          </w:tcPr>
          <w:p>
            <w:pPr>
              <w:spacing w:after="0"/>
              <w:jc w:val="left"/>
            </w:pPr>
            <w:r/>
            <w:r>
              <w:rPr>
                <w:rFonts w:ascii="Calibri" w:hAnsi="Calibri"/>
                <w:b w:val="0"/>
                <w:color w:val="1A1A1A"/>
                <w:sz w:val="24"/>
              </w:rPr>
              <w:t>Evento informativo que não converte em prática.</w:t>
            </w:r>
          </w:p>
        </w:tc>
        <w:tc>
          <w:tcPr>
            <w:tcW w:type="dxa" w:w="5049"/>
          </w:tcPr>
          <w:p>
            <w:pPr>
              <w:spacing w:after="0"/>
              <w:jc w:val="left"/>
            </w:pPr>
            <w:r/>
            <w:r>
              <w:rPr>
                <w:rFonts w:ascii="Calibri" w:hAnsi="Calibri"/>
                <w:b w:val="0"/>
                <w:color w:val="1A1A1A"/>
                <w:sz w:val="24"/>
              </w:rPr>
              <w:t>Entrega obrigatória do material de uso e demonstração ao vivo dos instrumentos.</w:t>
            </w:r>
          </w:p>
        </w:tc>
      </w:tr>
      <w:tr>
        <w:trPr>
          <w:cantSplit/>
        </w:trPr>
        <w:tc>
          <w:tcPr>
            <w:tcW w:type="dxa" w:w="4023"/>
            <w:shd w:val="clear" w:color="auto" w:fill="F2F5F8"/>
          </w:tcPr>
          <w:p>
            <w:pPr>
              <w:spacing w:after="0"/>
              <w:jc w:val="left"/>
            </w:pPr>
            <w:r/>
            <w:r>
              <w:rPr>
                <w:rFonts w:ascii="Calibri" w:hAnsi="Calibri"/>
                <w:b w:val="0"/>
                <w:color w:val="1A1A1A"/>
                <w:sz w:val="24"/>
              </w:rPr>
              <w:t>Pergunta do público sobre as controvérsias judiciais em curso.</w:t>
            </w:r>
          </w:p>
        </w:tc>
        <w:tc>
          <w:tcPr>
            <w:tcW w:type="dxa" w:w="5049"/>
            <w:shd w:val="clear" w:color="auto" w:fill="F2F5F8"/>
          </w:tcPr>
          <w:p>
            <w:pPr>
              <w:spacing w:after="0"/>
              <w:jc w:val="left"/>
            </w:pPr>
            <w:r/>
            <w:r>
              <w:rPr>
                <w:rFonts w:ascii="Calibri" w:hAnsi="Calibri"/>
                <w:b w:val="0"/>
                <w:color w:val="1A1A1A"/>
                <w:sz w:val="24"/>
              </w:rPr>
              <w:t>Mediação preparada para registrar a pergunta e remeter à instância competente, sem que o Núcleo se pronuncie sobre o mérito.</w:t>
            </w:r>
          </w:p>
        </w:tc>
      </w:tr>
      <w:tr>
        <w:trPr>
          <w:cantSplit/>
        </w:trPr>
        <w:tc>
          <w:tcPr>
            <w:tcW w:type="dxa" w:w="4023"/>
          </w:tcPr>
          <w:p>
            <w:pPr>
              <w:spacing w:after="0"/>
              <w:jc w:val="left"/>
            </w:pPr>
            <w:r/>
            <w:r>
              <w:rPr>
                <w:rFonts w:ascii="Calibri" w:hAnsi="Calibri"/>
                <w:b w:val="0"/>
                <w:color w:val="1A1A1A"/>
                <w:sz w:val="24"/>
              </w:rPr>
              <w:t>Produtos ainda não validados pela Diretoria na data do evento.</w:t>
            </w:r>
          </w:p>
        </w:tc>
        <w:tc>
          <w:tcPr>
            <w:tcW w:type="dxa" w:w="5049"/>
          </w:tcPr>
          <w:p>
            <w:pPr>
              <w:spacing w:after="0"/>
              <w:jc w:val="left"/>
            </w:pPr>
            <w:r/>
            <w:r>
              <w:rPr>
                <w:rFonts w:ascii="Calibri" w:hAnsi="Calibri"/>
                <w:b w:val="0"/>
                <w:color w:val="1A1A1A"/>
                <w:sz w:val="24"/>
              </w:rPr>
              <w:t>Apresentar como produção técnica submetida à validação, com a rotulagem preservada em todo material.</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verificado em 25 de agosto de 2026</w:t>
            </w:r>
          </w:p>
          <w:p>
            <w:pPr>
              <w:spacing w:after="0"/>
              <w:jc w:val="both"/>
            </w:pPr>
            <w:r>
              <w:rPr>
                <w:rFonts w:ascii="Calibri" w:hAnsi="Calibri"/>
                <w:color w:val="1A1A1A"/>
                <w:sz w:val="24"/>
              </w:rPr>
              <w:t>Em 19 de agosto de 2026, a 8ª Turma do Tribunal Regional Federal da 1ª Região decidiu, por três votos a dois, pela anulação da Resolução CFO nº 198/2019, no processo nº 1003948-83.2019.4.01.3400. Segundo as fontes consultadas, ainda cabe recurso e a medida produz efeito a partir da publicação do acórdão. O Conselho Federal de Odontologia manifestou discordância e informou que adotará as medidas judiciais cabíveis, registrando que, naquele momento, não havia mudança nas atribuições dos cirurgiões-dentistas. Este pacote não depende dessa resolução: sua fundamentação é sanitária, apoiada na RDC Anvisa nº 1.002/2025 e nos demais atos listados no mapa normativo. O fato é registrado por dever de atualidade, e não como posição do Núcleo sobre o mérito da decisão judicial, matéria estranha à sua competência técnica.</w:t>
            </w:r>
          </w:p>
        </w:tc>
      </w:tr>
    </w:tbl>
    <w:p>
      <w:pPr>
        <w:spacing w:after="80"/>
      </w:pP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N5-FOR-01 · Plano do Fórum de Tecnologias Emergentes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N5-FOR-01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