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POP-N5-06  Suspeita de comprometimento com envolvimento oftálmico ou neurológico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POP-N5-06. Versão 1.0. Emissão em 26 de agosto de 2026. Próxima revisão em até doze meses. Onda de produção 1. Situação de escopo: Livre, com fonte obrigatória por afirmação.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resposta à suspeita de comprometimento vascular com envolvimento oftálmico ou neurológico. É o POP de maior criticidade do conjunto. Seu propósito é garantir que o encaminhamento de urgência ocorra sem qualquer atraso e que o registro permita a continuidade do cuidado.</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A conduta terapêutica eventualmente adotada antes do encaminhamento deve estar descrita em protocolo próprio do serviço, com fonte declarada, e ser compatível com a competência profissional na data de sua aplicação.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Independentemente da capacitação, o encaminhamento de urgência é obrigatório e não pode ser substituído por conduta no consultório.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Contato e endereço do serviço oftalmológico e neurológico de referência, definidos por escrito antes do primeiro procedimento do dia; meio de transporte ou acionamento de urgência; formulário de registro; recursos previstos no protocolo do serviço.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Registro do horário do primeiro sintoma visual ou neurológico.</w:t>
      </w:r>
    </w:p>
    <w:p>
      <w:pPr>
        <w:pStyle w:val="ListBullet"/>
        <w:spacing w:after="60"/>
        <w:ind w:left="397"/>
        <w:jc w:val="both"/>
      </w:pPr>
      <w:r>
        <w:rPr>
          <w:rFonts w:ascii="Calibri" w:hAnsi="Calibri"/>
          <w:color w:val="1A1A1A"/>
          <w:sz w:val="24"/>
        </w:rPr>
        <w:t>☐  Confirmação de interrupção imediata do procedimento.</w:t>
      </w:r>
    </w:p>
    <w:p>
      <w:pPr>
        <w:pStyle w:val="ListBullet"/>
        <w:spacing w:after="60"/>
        <w:ind w:left="397"/>
        <w:jc w:val="both"/>
      </w:pPr>
      <w:r>
        <w:rPr>
          <w:rFonts w:ascii="Calibri" w:hAnsi="Calibri"/>
          <w:color w:val="1A1A1A"/>
          <w:sz w:val="24"/>
        </w:rPr>
        <w:t>☐  Rota oftalmológica e neurológica confirmada e acessível.</w:t>
      </w:r>
    </w:p>
    <w:p>
      <w:pPr>
        <w:pStyle w:val="ListBullet"/>
        <w:spacing w:after="60"/>
        <w:ind w:left="397"/>
        <w:jc w:val="both"/>
      </w:pPr>
      <w:r>
        <w:rPr>
          <w:rFonts w:ascii="Calibri" w:hAnsi="Calibri"/>
          <w:color w:val="1A1A1A"/>
          <w:sz w:val="24"/>
        </w:rPr>
        <w:t>☐  Identificação do produto, lote, região, volume e plano de aplicação.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Interromper imediatamente e registrar o horário.</w:t>
      </w:r>
    </w:p>
    <w:p>
      <w:pPr>
        <w:pStyle w:val="ListNumber"/>
        <w:spacing w:after="60"/>
        <w:ind w:left="397"/>
        <w:jc w:val="both"/>
      </w:pPr>
      <w:r>
        <w:rPr>
          <w:rFonts w:ascii="Calibri" w:hAnsi="Calibri"/>
          <w:color w:val="1A1A1A"/>
          <w:sz w:val="24"/>
        </w:rPr>
        <w:t>Acionar o encaminhamento de urgência de imediato. Nenhum exame complementar, nenhuma reavaliação e nenhuma tentativa de conduta local justificam atraso.</w:t>
      </w:r>
    </w:p>
    <w:p>
      <w:pPr>
        <w:pStyle w:val="ListNumber"/>
        <w:spacing w:after="60"/>
        <w:ind w:left="397"/>
        <w:jc w:val="both"/>
      </w:pPr>
      <w:r>
        <w:rPr>
          <w:rFonts w:ascii="Calibri" w:hAnsi="Calibri"/>
          <w:color w:val="1A1A1A"/>
          <w:sz w:val="24"/>
        </w:rPr>
        <w:t>Documentar de forma objetiva o sintoma relatado e o achado observado.</w:t>
      </w:r>
    </w:p>
    <w:p>
      <w:pPr>
        <w:pStyle w:val="ListNumber"/>
        <w:spacing w:after="60"/>
        <w:ind w:left="397"/>
        <w:jc w:val="both"/>
      </w:pPr>
      <w:r>
        <w:rPr>
          <w:rFonts w:ascii="Calibri" w:hAnsi="Calibri"/>
          <w:color w:val="1A1A1A"/>
          <w:sz w:val="24"/>
        </w:rPr>
        <w:t>Aplicar, em paralelo ao acionamento e sem retardá-lo, as medidas previstas no protocolo do serviço, quando houver e quando compatíveis com a capacitação do profissional.</w:t>
      </w:r>
    </w:p>
    <w:p>
      <w:pPr>
        <w:pStyle w:val="ListNumber"/>
        <w:spacing w:after="60"/>
        <w:ind w:left="397"/>
        <w:jc w:val="both"/>
      </w:pPr>
      <w:r>
        <w:rPr>
          <w:rFonts w:ascii="Calibri" w:hAnsi="Calibri"/>
          <w:color w:val="1A1A1A"/>
          <w:sz w:val="24"/>
        </w:rPr>
        <w:t>Acompanhar o paciente até a transferência efetiva de cuidado.</w:t>
      </w:r>
    </w:p>
    <w:p>
      <w:pPr>
        <w:pStyle w:val="ListNumber"/>
        <w:spacing w:after="60"/>
        <w:ind w:left="397"/>
        <w:jc w:val="both"/>
      </w:pPr>
      <w:r>
        <w:rPr>
          <w:rFonts w:ascii="Calibri" w:hAnsi="Calibri"/>
          <w:color w:val="1A1A1A"/>
          <w:sz w:val="24"/>
        </w:rPr>
        <w:t>Transmitir ao serviço receptor o produto aplicado, o lote, a região, o volume, os horários e a conduta já adotada.</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Qualquer alteração visual, ainda que transitória.</w:t>
      </w:r>
    </w:p>
    <w:p>
      <w:pPr>
        <w:pStyle w:val="ListBullet"/>
        <w:spacing w:after="60"/>
        <w:ind w:left="397"/>
        <w:jc w:val="both"/>
      </w:pPr>
      <w:r>
        <w:rPr>
          <w:rFonts w:ascii="Calibri" w:hAnsi="Calibri"/>
          <w:color w:val="1A1A1A"/>
          <w:sz w:val="24"/>
        </w:rPr>
        <w:t>Dor ocular, ptose ou limitação da movimentação ocular.</w:t>
      </w:r>
    </w:p>
    <w:p>
      <w:pPr>
        <w:pStyle w:val="ListBullet"/>
        <w:spacing w:after="60"/>
        <w:ind w:left="397"/>
        <w:jc w:val="both"/>
      </w:pPr>
      <w:r>
        <w:rPr>
          <w:rFonts w:ascii="Calibri" w:hAnsi="Calibri"/>
          <w:color w:val="1A1A1A"/>
          <w:sz w:val="24"/>
        </w:rPr>
        <w:t>Déficit motor, alteração de fala ou de nível de consciência.</w:t>
      </w:r>
    </w:p>
    <w:p>
      <w:pPr>
        <w:pStyle w:val="ListBullet"/>
        <w:spacing w:after="60"/>
        <w:ind w:left="397"/>
        <w:jc w:val="both"/>
      </w:pPr>
      <w:r>
        <w:rPr>
          <w:rFonts w:ascii="Calibri" w:hAnsi="Calibri"/>
          <w:color w:val="1A1A1A"/>
          <w:sz w:val="24"/>
        </w:rPr>
        <w:t>Cefaleia de início súbito e intensidade incomum.</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Este POP é a própria conduta de intercorrência. Havendo instabilidade sistêmica associada, aplicar simultaneamente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Os três horários, com precisão de minutos.</w:t>
      </w:r>
    </w:p>
    <w:p>
      <w:pPr>
        <w:pStyle w:val="ListBullet"/>
        <w:spacing w:after="60"/>
        <w:ind w:left="397"/>
        <w:jc w:val="both"/>
      </w:pPr>
      <w:r>
        <w:rPr>
          <w:rFonts w:ascii="Calibri" w:hAnsi="Calibri"/>
          <w:color w:val="1A1A1A"/>
          <w:sz w:val="24"/>
        </w:rPr>
        <w:t>Sintoma relatado com as palavras do paciente e achado objetivado pelo profissional.</w:t>
      </w:r>
    </w:p>
    <w:p>
      <w:pPr>
        <w:pStyle w:val="ListBullet"/>
        <w:spacing w:after="60"/>
        <w:ind w:left="397"/>
        <w:jc w:val="both"/>
      </w:pPr>
      <w:r>
        <w:rPr>
          <w:rFonts w:ascii="Calibri" w:hAnsi="Calibri"/>
          <w:color w:val="1A1A1A"/>
          <w:sz w:val="24"/>
        </w:rPr>
        <w:t>Horário do acionamento do encaminhamento e serviço acionado.</w:t>
      </w:r>
    </w:p>
    <w:p>
      <w:pPr>
        <w:pStyle w:val="ListBullet"/>
        <w:spacing w:after="60"/>
        <w:ind w:left="397"/>
        <w:jc w:val="both"/>
      </w:pPr>
      <w:r>
        <w:rPr>
          <w:rFonts w:ascii="Calibri" w:hAnsi="Calibri"/>
          <w:color w:val="1A1A1A"/>
          <w:sz w:val="24"/>
        </w:rPr>
        <w:t>Informações transmitidas ao serviço receptor.</w:t>
      </w:r>
    </w:p>
    <w:p>
      <w:pPr>
        <w:pStyle w:val="ListBullet"/>
        <w:spacing w:after="60"/>
        <w:ind w:left="397"/>
        <w:jc w:val="both"/>
      </w:pPr>
      <w:r>
        <w:rPr>
          <w:rFonts w:ascii="Calibri" w:hAnsi="Calibri"/>
          <w:color w:val="1A1A1A"/>
          <w:sz w:val="24"/>
        </w:rPr>
        <w:t>Conduta adotada em paralelo, se houver, com horário.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Registrar o desfecho informado pelo serviço receptor, quando obtido. Avaliar notificação conforme o POP-N5-17. Realizar revisão interna obrigatória do caso, com registro em ata do serviço.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Protocolo do serviço, com fonte e data. Documentos 07, 08 e 12 do pacote. Literatura verificada em PubMed e registrada no documento 12, que descreve a classificação temporal do evento e a proporção de complicações neurológicas relatadas, com o desenho e as limitações ali declarados.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POP-N5-06 · Suspeita de comprometimento com envolvimento oftálmico ou neurológico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