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DE GOVERNANÇA DIGITAL</w:t>
      </w:r>
    </w:p>
    <w:p>
      <w:pPr>
        <w:spacing w:after="160"/>
        <w:jc w:val="center"/>
      </w:pPr>
      <w:r>
        <w:rPr>
          <w:rFonts w:ascii="Calibri" w:hAnsi="Calibri"/>
          <w:b/>
          <w:color w:val="143C64"/>
          <w:sz w:val="48"/>
        </w:rPr>
        <w:t>Política de Inteligência Artificial e Proteção de Dados</w:t>
      </w:r>
    </w:p>
    <w:p>
      <w:pPr>
        <w:spacing w:after="720"/>
        <w:jc w:val="center"/>
      </w:pPr>
      <w:r>
        <w:rPr>
          <w:rFonts w:ascii="Calibri" w:hAnsi="Calibri"/>
          <w:b w:val="0"/>
          <w:i w:val="0"/>
          <w:color w:val="444A52"/>
          <w:sz w:val="26"/>
        </w:rPr>
        <w:t>Princípios de uso de ferramentas digitais e de inteligência artificial em Harmonização Orofacial, com checklist de conformidade em proteção de dados para o serviço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N5-DAD-01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Submetido à deliberação do colegiado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Escopo</w:t>
      </w:r>
    </w:p>
    <w:p>
      <w:pPr>
        <w:spacing w:after="120"/>
        <w:jc w:val="both"/>
      </w:pPr>
      <w:r>
        <w:rPr>
          <w:rFonts w:ascii="Calibri" w:hAnsi="Calibri"/>
          <w:b w:val="0"/>
          <w:i w:val="0"/>
          <w:color w:val="1A1A1A"/>
          <w:sz w:val="24"/>
        </w:rPr>
        <w:t>Esta política orienta o uso de software, ferramentas digitais e sistemas com inteligência artificial no contexto da Harmonização Orofacial, e estabelece o checklist de conformidade em proteção de dados aplicável ao serviço. Não recomenda fornecedor, não homologa ferramenta e não substitui análise jurídica.</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Princípios de uso de inteligência artificial</w:t>
      </w:r>
    </w:p>
    <w:p>
      <w:pPr>
        <w:spacing w:after="120"/>
        <w:jc w:val="both"/>
      </w:pPr>
      <w:r>
        <w:rPr>
          <w:rFonts w:ascii="Calibri" w:hAnsi="Calibri"/>
          <w:b w:val="0"/>
          <w:i w:val="0"/>
          <w:color w:val="1A1A1A"/>
          <w:sz w:val="24"/>
        </w:rPr>
        <w:t>EVIDÊNCIA CIENTÍFICA. Revisão sistemática conduzida segundo PRISMA 2020, publicada em 2026, examinou o impacto da inteligência artificial na cirurgia estética facial. De 1.832 registros identificados, 29 estudos preencheram os critérios de inclusão. A maioria concentra-se em desenvolvimento e validação de ferramentas, com poucos estudos intervencionistas, e os autores destacam a necessidade de padronização de relato, de atualização regulatória e de programas educacionais. Limitação: escopo em cirurgia estética facial, com impacto clínico direto ainda limitado.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120"/>
        <w:gridCol w:w="5952"/>
      </w:tblGrid>
      <w:tr>
        <w:trPr>
          <w:cantSplit/>
          <w:tblHeader/>
        </w:trPr>
        <w:tc>
          <w:tcPr>
            <w:tcW w:type="dxa" w:w="3120"/>
            <w:shd w:val="clear" w:color="auto" w:fill="143C64"/>
          </w:tcPr>
          <w:p>
            <w:pPr>
              <w:spacing w:after="0"/>
              <w:jc w:val="left"/>
            </w:pPr>
            <w:r/>
            <w:r>
              <w:rPr>
                <w:rFonts w:ascii="Calibri" w:hAnsi="Calibri"/>
                <w:b/>
                <w:color w:val="FFFFFF"/>
                <w:sz w:val="24"/>
              </w:rPr>
              <w:t>Princípio</w:t>
            </w:r>
          </w:p>
        </w:tc>
        <w:tc>
          <w:tcPr>
            <w:tcW w:type="dxa" w:w="5952"/>
            <w:shd w:val="clear" w:color="auto" w:fill="143C64"/>
          </w:tcPr>
          <w:p>
            <w:pPr>
              <w:spacing w:after="0"/>
              <w:jc w:val="left"/>
            </w:pPr>
            <w:r/>
            <w:r>
              <w:rPr>
                <w:rFonts w:ascii="Calibri" w:hAnsi="Calibri"/>
                <w:b/>
                <w:color w:val="FFFFFF"/>
                <w:sz w:val="24"/>
              </w:rPr>
              <w:t>Aplicação prática</w:t>
            </w:r>
          </w:p>
        </w:tc>
      </w:tr>
      <w:tr>
        <w:trPr>
          <w:cantSplit/>
        </w:trPr>
        <w:tc>
          <w:tcPr>
            <w:tcW w:type="dxa" w:w="3120"/>
          </w:tcPr>
          <w:p>
            <w:pPr>
              <w:spacing w:after="0"/>
              <w:jc w:val="left"/>
            </w:pPr>
            <w:r/>
            <w:r>
              <w:rPr>
                <w:rFonts w:ascii="Calibri" w:hAnsi="Calibri"/>
                <w:b/>
                <w:color w:val="1A1A1A"/>
                <w:sz w:val="24"/>
              </w:rPr>
              <w:t>Apoio, não substituição</w:t>
            </w:r>
          </w:p>
        </w:tc>
        <w:tc>
          <w:tcPr>
            <w:tcW w:type="dxa" w:w="5952"/>
          </w:tcPr>
          <w:p>
            <w:pPr>
              <w:spacing w:after="0"/>
              <w:jc w:val="left"/>
            </w:pPr>
            <w:r/>
            <w:r>
              <w:rPr>
                <w:rFonts w:ascii="Calibri" w:hAnsi="Calibri"/>
                <w:b w:val="0"/>
                <w:color w:val="1A1A1A"/>
                <w:sz w:val="24"/>
              </w:rPr>
              <w:t>A ferramenta apoia a decisão. Não diagnostica, não prescreve e não transfere responsabilidade. A decisão e a responsabilidade permanecem com o profissional.</w:t>
            </w:r>
          </w:p>
        </w:tc>
      </w:tr>
      <w:tr>
        <w:trPr>
          <w:cantSplit/>
        </w:trPr>
        <w:tc>
          <w:tcPr>
            <w:tcW w:type="dxa" w:w="3120"/>
            <w:shd w:val="clear" w:color="auto" w:fill="F2F5F8"/>
          </w:tcPr>
          <w:p>
            <w:pPr>
              <w:spacing w:after="0"/>
              <w:jc w:val="left"/>
            </w:pPr>
            <w:r/>
            <w:r>
              <w:rPr>
                <w:rFonts w:ascii="Calibri" w:hAnsi="Calibri"/>
                <w:b/>
                <w:color w:val="1A1A1A"/>
                <w:sz w:val="24"/>
              </w:rPr>
              <w:t>Finalidade declarada</w:t>
            </w:r>
          </w:p>
        </w:tc>
        <w:tc>
          <w:tcPr>
            <w:tcW w:type="dxa" w:w="5952"/>
            <w:shd w:val="clear" w:color="auto" w:fill="F2F5F8"/>
          </w:tcPr>
          <w:p>
            <w:pPr>
              <w:spacing w:after="0"/>
              <w:jc w:val="left"/>
            </w:pPr>
            <w:r/>
            <w:r>
              <w:rPr>
                <w:rFonts w:ascii="Calibri" w:hAnsi="Calibri"/>
                <w:b w:val="0"/>
                <w:color w:val="1A1A1A"/>
                <w:sz w:val="24"/>
              </w:rPr>
              <w:t>Usar a ferramenta apenas dentro da finalidade que o fornecedor declara. Uso fora dela não é coberto pelo desempenho relatado.</w:t>
            </w:r>
          </w:p>
        </w:tc>
      </w:tr>
      <w:tr>
        <w:trPr>
          <w:cantSplit/>
        </w:trPr>
        <w:tc>
          <w:tcPr>
            <w:tcW w:type="dxa" w:w="3120"/>
          </w:tcPr>
          <w:p>
            <w:pPr>
              <w:spacing w:after="0"/>
              <w:jc w:val="left"/>
            </w:pPr>
            <w:r/>
            <w:r>
              <w:rPr>
                <w:rFonts w:ascii="Calibri" w:hAnsi="Calibri"/>
                <w:b/>
                <w:color w:val="1A1A1A"/>
                <w:sz w:val="24"/>
              </w:rPr>
              <w:t>Transparência com o paciente</w:t>
            </w:r>
          </w:p>
        </w:tc>
        <w:tc>
          <w:tcPr>
            <w:tcW w:type="dxa" w:w="5952"/>
          </w:tcPr>
          <w:p>
            <w:pPr>
              <w:spacing w:after="0"/>
              <w:jc w:val="left"/>
            </w:pPr>
            <w:r/>
            <w:r>
              <w:rPr>
                <w:rFonts w:ascii="Calibri" w:hAnsi="Calibri"/>
                <w:b w:val="0"/>
                <w:color w:val="1A1A1A"/>
                <w:sz w:val="24"/>
              </w:rPr>
              <w:t>Informar o paciente quando a ferramenta influenciar a conduta ou quando gerar simulação de resultado.</w:t>
            </w:r>
          </w:p>
        </w:tc>
      </w:tr>
      <w:tr>
        <w:trPr>
          <w:cantSplit/>
        </w:trPr>
        <w:tc>
          <w:tcPr>
            <w:tcW w:type="dxa" w:w="3120"/>
            <w:shd w:val="clear" w:color="auto" w:fill="F2F5F8"/>
          </w:tcPr>
          <w:p>
            <w:pPr>
              <w:spacing w:after="0"/>
              <w:jc w:val="left"/>
            </w:pPr>
            <w:r/>
            <w:r>
              <w:rPr>
                <w:rFonts w:ascii="Calibri" w:hAnsi="Calibri"/>
                <w:b/>
                <w:color w:val="1A1A1A"/>
                <w:sz w:val="24"/>
              </w:rPr>
              <w:t>Simulação não é promessa</w:t>
            </w:r>
          </w:p>
        </w:tc>
        <w:tc>
          <w:tcPr>
            <w:tcW w:type="dxa" w:w="5952"/>
            <w:shd w:val="clear" w:color="auto" w:fill="F2F5F8"/>
          </w:tcPr>
          <w:p>
            <w:pPr>
              <w:spacing w:after="0"/>
              <w:jc w:val="left"/>
            </w:pPr>
            <w:r/>
            <w:r>
              <w:rPr>
                <w:rFonts w:ascii="Calibri" w:hAnsi="Calibri"/>
                <w:b w:val="0"/>
                <w:color w:val="1A1A1A"/>
                <w:sz w:val="24"/>
              </w:rPr>
              <w:t>Apresentar simulação sempre como aproximação. Tratar simulação como resultado esperado configura promessa de resultado.</w:t>
            </w:r>
          </w:p>
        </w:tc>
      </w:tr>
      <w:tr>
        <w:trPr>
          <w:cantSplit/>
        </w:trPr>
        <w:tc>
          <w:tcPr>
            <w:tcW w:type="dxa" w:w="3120"/>
          </w:tcPr>
          <w:p>
            <w:pPr>
              <w:spacing w:after="0"/>
              <w:jc w:val="left"/>
            </w:pPr>
            <w:r/>
            <w:r>
              <w:rPr>
                <w:rFonts w:ascii="Calibri" w:hAnsi="Calibri"/>
                <w:b/>
                <w:color w:val="1A1A1A"/>
                <w:sz w:val="24"/>
              </w:rPr>
              <w:t>Verificação crítica</w:t>
            </w:r>
          </w:p>
        </w:tc>
        <w:tc>
          <w:tcPr>
            <w:tcW w:type="dxa" w:w="5952"/>
          </w:tcPr>
          <w:p>
            <w:pPr>
              <w:spacing w:after="0"/>
              <w:jc w:val="left"/>
            </w:pPr>
            <w:r/>
            <w:r>
              <w:rPr>
                <w:rFonts w:ascii="Calibri" w:hAnsi="Calibri"/>
                <w:b w:val="0"/>
                <w:color w:val="1A1A1A"/>
                <w:sz w:val="24"/>
              </w:rPr>
              <w:t>Conferir toda saída da ferramenta contra o exame clínico antes de incorporá-la à decisão. Saída incompatível prevalece sobre a ferramenta, nunca sobre o exame.</w:t>
            </w:r>
          </w:p>
        </w:tc>
      </w:tr>
      <w:tr>
        <w:trPr>
          <w:cantSplit/>
        </w:trPr>
        <w:tc>
          <w:tcPr>
            <w:tcW w:type="dxa" w:w="3120"/>
            <w:shd w:val="clear" w:color="auto" w:fill="F2F5F8"/>
          </w:tcPr>
          <w:p>
            <w:pPr>
              <w:spacing w:after="0"/>
              <w:jc w:val="left"/>
            </w:pPr>
            <w:r/>
            <w:r>
              <w:rPr>
                <w:rFonts w:ascii="Calibri" w:hAnsi="Calibri"/>
                <w:b/>
                <w:color w:val="1A1A1A"/>
                <w:sz w:val="24"/>
              </w:rPr>
              <w:t>Enquadramento regulatório</w:t>
            </w:r>
          </w:p>
        </w:tc>
        <w:tc>
          <w:tcPr>
            <w:tcW w:type="dxa" w:w="5952"/>
            <w:shd w:val="clear" w:color="auto" w:fill="F2F5F8"/>
          </w:tcPr>
          <w:p>
            <w:pPr>
              <w:spacing w:after="0"/>
              <w:jc w:val="left"/>
            </w:pPr>
            <w:r/>
            <w:r>
              <w:rPr>
                <w:rFonts w:ascii="Calibri" w:hAnsi="Calibri"/>
                <w:b w:val="0"/>
                <w:color w:val="1A1A1A"/>
                <w:sz w:val="24"/>
              </w:rPr>
              <w:t>Verificar se o software é enquadrado como dispositivo médico e registrar a consulta, conforme a RDC nº 751/2022.</w:t>
            </w:r>
          </w:p>
        </w:tc>
      </w:tr>
      <w:tr>
        <w:trPr>
          <w:cantSplit/>
        </w:trPr>
        <w:tc>
          <w:tcPr>
            <w:tcW w:type="dxa" w:w="3120"/>
          </w:tcPr>
          <w:p>
            <w:pPr>
              <w:spacing w:after="0"/>
              <w:jc w:val="left"/>
            </w:pPr>
            <w:r/>
            <w:r>
              <w:rPr>
                <w:rFonts w:ascii="Calibri" w:hAnsi="Calibri"/>
                <w:b/>
                <w:color w:val="1A1A1A"/>
                <w:sz w:val="24"/>
              </w:rPr>
              <w:t>Controle de versão</w:t>
            </w:r>
          </w:p>
        </w:tc>
        <w:tc>
          <w:tcPr>
            <w:tcW w:type="dxa" w:w="5952"/>
          </w:tcPr>
          <w:p>
            <w:pPr>
              <w:spacing w:after="0"/>
              <w:jc w:val="left"/>
            </w:pPr>
            <w:r/>
            <w:r>
              <w:rPr>
                <w:rFonts w:ascii="Calibri" w:hAnsi="Calibri"/>
                <w:b w:val="0"/>
                <w:color w:val="1A1A1A"/>
                <w:sz w:val="24"/>
              </w:rPr>
              <w:t>Registrar a versão em uso e reavaliar a cada atualização, porque desempenho e política de dados podem mudar sem aviso.</w:t>
            </w:r>
          </w:p>
        </w:tc>
      </w:tr>
      <w:tr>
        <w:trPr>
          <w:cantSplit/>
        </w:trPr>
        <w:tc>
          <w:tcPr>
            <w:tcW w:type="dxa" w:w="3120"/>
            <w:shd w:val="clear" w:color="auto" w:fill="F2F5F8"/>
          </w:tcPr>
          <w:p>
            <w:pPr>
              <w:spacing w:after="0"/>
              <w:jc w:val="left"/>
            </w:pPr>
            <w:r/>
            <w:r>
              <w:rPr>
                <w:rFonts w:ascii="Calibri" w:hAnsi="Calibri"/>
                <w:b/>
                <w:color w:val="1A1A1A"/>
                <w:sz w:val="24"/>
              </w:rPr>
              <w:t>Registro em prontuário</w:t>
            </w:r>
          </w:p>
        </w:tc>
        <w:tc>
          <w:tcPr>
            <w:tcW w:type="dxa" w:w="5952"/>
            <w:shd w:val="clear" w:color="auto" w:fill="F2F5F8"/>
          </w:tcPr>
          <w:p>
            <w:pPr>
              <w:spacing w:after="0"/>
              <w:jc w:val="left"/>
            </w:pPr>
            <w:r/>
            <w:r>
              <w:rPr>
                <w:rFonts w:ascii="Calibri" w:hAnsi="Calibri"/>
                <w:b w:val="0"/>
                <w:color w:val="1A1A1A"/>
                <w:sz w:val="24"/>
              </w:rPr>
              <w:t>Registrar o uso da ferramenta, a versão e a decisão adotada.</w:t>
            </w:r>
          </w:p>
        </w:tc>
      </w:tr>
    </w:tbl>
    <w:p>
      <w:r>
        <w:br w:type="page"/>
      </w:r>
    </w:p>
    <w:p>
      <w:pPr>
        <w:keepNext/>
        <w:spacing w:before="360" w:after="160"/>
        <w:jc w:val="left"/>
        <w:pBdr>
          <w:bottom w:val="single" w:sz="8" w:space="4" w:color="143C64"/>
        </w:pBdr>
      </w:pPr>
      <w:r>
        <w:rPr>
          <w:rFonts w:ascii="Calibri" w:hAnsi="Calibri"/>
          <w:b/>
          <w:color w:val="143C64"/>
          <w:sz w:val="30"/>
        </w:rPr>
        <w:t>3  Checklist de conformidade em proteção de dados</w:t>
      </w:r>
    </w:p>
    <w:p>
      <w:pPr>
        <w:spacing w:after="120"/>
        <w:jc w:val="both"/>
      </w:pPr>
      <w:r>
        <w:rPr>
          <w:rFonts w:ascii="Calibri" w:hAnsi="Calibri"/>
          <w:b w:val="0"/>
          <w:i w:val="0"/>
          <w:color w:val="1A1A1A"/>
          <w:sz w:val="24"/>
        </w:rPr>
        <w:t>Aplicável ao serviço, e não apenas às ferramentas de inteligência artificial. Deve ser percorrido na implantação e revisado anualmente.</w:t>
      </w:r>
    </w:p>
    <w:p>
      <w:pPr>
        <w:keepNext/>
        <w:spacing w:before="240" w:after="80"/>
        <w:jc w:val="left"/>
      </w:pPr>
      <w:r>
        <w:rPr>
          <w:rFonts w:ascii="Calibri" w:hAnsi="Calibri"/>
          <w:b/>
          <w:color w:val="143C64"/>
          <w:sz w:val="26"/>
        </w:rPr>
        <w:t>3.1  Bloco A. Mapeamento</w:t>
      </w:r>
    </w:p>
    <w:p>
      <w:pPr>
        <w:pStyle w:val="ListBullet"/>
        <w:spacing w:after="60"/>
        <w:ind w:left="397"/>
        <w:jc w:val="both"/>
      </w:pPr>
      <w:r>
        <w:rPr>
          <w:rFonts w:ascii="Calibri" w:hAnsi="Calibri"/>
          <w:color w:val="1A1A1A"/>
          <w:sz w:val="24"/>
        </w:rPr>
        <w:t>☐  Todos os dados pessoais tratados pelo serviço estão identificados, incluindo dados de saúde e imagens.</w:t>
      </w:r>
    </w:p>
    <w:p>
      <w:pPr>
        <w:pStyle w:val="ListBullet"/>
        <w:spacing w:after="60"/>
        <w:ind w:left="397"/>
        <w:jc w:val="both"/>
      </w:pPr>
      <w:r>
        <w:rPr>
          <w:rFonts w:ascii="Calibri" w:hAnsi="Calibri"/>
          <w:color w:val="1A1A1A"/>
          <w:sz w:val="24"/>
        </w:rPr>
        <w:t>☐  Para cada tratamento, a finalidade está declarada por escrito.</w:t>
      </w:r>
    </w:p>
    <w:p>
      <w:pPr>
        <w:pStyle w:val="ListBullet"/>
        <w:spacing w:after="60"/>
        <w:ind w:left="397"/>
        <w:jc w:val="both"/>
      </w:pPr>
      <w:r>
        <w:rPr>
          <w:rFonts w:ascii="Calibri" w:hAnsi="Calibri"/>
          <w:color w:val="1A1A1A"/>
          <w:sz w:val="24"/>
        </w:rPr>
        <w:t>☐  Para cada tratamento, a base legal está identificada.</w:t>
      </w:r>
    </w:p>
    <w:p>
      <w:pPr>
        <w:pStyle w:val="ListBullet"/>
        <w:spacing w:after="60"/>
        <w:ind w:left="397"/>
        <w:jc w:val="both"/>
      </w:pPr>
      <w:r>
        <w:rPr>
          <w:rFonts w:ascii="Calibri" w:hAnsi="Calibri"/>
          <w:color w:val="1A1A1A"/>
          <w:sz w:val="24"/>
        </w:rPr>
        <w:t>☐  Está identificado quem tem acesso a cada categoria de dado.</w:t>
      </w:r>
    </w:p>
    <w:p>
      <w:pPr>
        <w:keepNext/>
        <w:spacing w:before="240" w:after="80"/>
        <w:jc w:val="left"/>
      </w:pPr>
      <w:r>
        <w:rPr>
          <w:rFonts w:ascii="Calibri" w:hAnsi="Calibri"/>
          <w:b/>
          <w:color w:val="143C64"/>
          <w:sz w:val="26"/>
        </w:rPr>
        <w:t>3.2  Bloco B. Consentimento e informação</w:t>
      </w:r>
    </w:p>
    <w:p>
      <w:pPr>
        <w:pStyle w:val="ListBullet"/>
        <w:spacing w:after="60"/>
        <w:ind w:left="397"/>
        <w:jc w:val="both"/>
      </w:pPr>
      <w:r>
        <w:rPr>
          <w:rFonts w:ascii="Calibri" w:hAnsi="Calibri"/>
          <w:color w:val="1A1A1A"/>
          <w:sz w:val="24"/>
        </w:rPr>
        <w:t>☐  O consentimento para tratamento clínico é distinto da autorização de uso de imagem.</w:t>
      </w:r>
    </w:p>
    <w:p>
      <w:pPr>
        <w:pStyle w:val="ListBullet"/>
        <w:spacing w:after="60"/>
        <w:ind w:left="397"/>
        <w:jc w:val="both"/>
      </w:pPr>
      <w:r>
        <w:rPr>
          <w:rFonts w:ascii="Calibri" w:hAnsi="Calibri"/>
          <w:color w:val="1A1A1A"/>
          <w:sz w:val="24"/>
        </w:rPr>
        <w:t>☐  A autorização de uso assistencial da imagem é distinta da autorização de divulgação.</w:t>
      </w:r>
    </w:p>
    <w:p>
      <w:pPr>
        <w:pStyle w:val="ListBullet"/>
        <w:spacing w:after="60"/>
        <w:ind w:left="397"/>
        <w:jc w:val="both"/>
      </w:pPr>
      <w:r>
        <w:rPr>
          <w:rFonts w:ascii="Calibri" w:hAnsi="Calibri"/>
          <w:color w:val="1A1A1A"/>
          <w:sz w:val="24"/>
        </w:rPr>
        <w:t>☐  A recusa da autorização de divulgação não condiciona o atendimento.</w:t>
      </w:r>
    </w:p>
    <w:p>
      <w:pPr>
        <w:pStyle w:val="ListBullet"/>
        <w:spacing w:after="60"/>
        <w:ind w:left="397"/>
        <w:jc w:val="both"/>
      </w:pPr>
      <w:r>
        <w:rPr>
          <w:rFonts w:ascii="Calibri" w:hAnsi="Calibri"/>
          <w:color w:val="1A1A1A"/>
          <w:sz w:val="24"/>
        </w:rPr>
        <w:t>☐  O paciente é informado sobre como acessar seus dados e seu prontuário, conforme a Lei nº 15.378/2026.</w:t>
      </w:r>
    </w:p>
    <w:p>
      <w:pPr>
        <w:pStyle w:val="ListBullet"/>
        <w:spacing w:after="60"/>
        <w:ind w:left="397"/>
        <w:jc w:val="both"/>
      </w:pPr>
      <w:r>
        <w:rPr>
          <w:rFonts w:ascii="Calibri" w:hAnsi="Calibri"/>
          <w:color w:val="1A1A1A"/>
          <w:sz w:val="24"/>
        </w:rPr>
        <w:t>☐  Existe procedimento escrito para revogação de autorização.</w:t>
      </w:r>
    </w:p>
    <w:p>
      <w:pPr>
        <w:keepNext/>
        <w:spacing w:before="240" w:after="80"/>
        <w:jc w:val="left"/>
      </w:pPr>
      <w:r>
        <w:rPr>
          <w:rFonts w:ascii="Calibri" w:hAnsi="Calibri"/>
          <w:b/>
          <w:color w:val="143C64"/>
          <w:sz w:val="26"/>
        </w:rPr>
        <w:t>3.3  Bloco C. Armazenamento e acesso</w:t>
      </w:r>
    </w:p>
    <w:p>
      <w:pPr>
        <w:pStyle w:val="ListBullet"/>
        <w:spacing w:after="60"/>
        <w:ind w:left="397"/>
        <w:jc w:val="both"/>
      </w:pPr>
      <w:r>
        <w:rPr>
          <w:rFonts w:ascii="Calibri" w:hAnsi="Calibri"/>
          <w:color w:val="1A1A1A"/>
          <w:sz w:val="24"/>
        </w:rPr>
        <w:t>☐  Dados e imagens são armazenados em repositório institucional, nunca em dispositivo pessoal ou aplicativo de mensagem.</w:t>
      </w:r>
    </w:p>
    <w:p>
      <w:pPr>
        <w:pStyle w:val="ListBullet"/>
        <w:spacing w:after="60"/>
        <w:ind w:left="397"/>
        <w:jc w:val="both"/>
      </w:pPr>
      <w:r>
        <w:rPr>
          <w:rFonts w:ascii="Calibri" w:hAnsi="Calibri"/>
          <w:color w:val="1A1A1A"/>
          <w:sz w:val="24"/>
        </w:rPr>
        <w:t>☐  O controle de acesso é individual e a lista de pessoas autorizadas está atualizada.</w:t>
      </w:r>
    </w:p>
    <w:p>
      <w:pPr>
        <w:pStyle w:val="ListBullet"/>
        <w:spacing w:after="60"/>
        <w:ind w:left="397"/>
        <w:jc w:val="both"/>
      </w:pPr>
      <w:r>
        <w:rPr>
          <w:rFonts w:ascii="Calibri" w:hAnsi="Calibri"/>
          <w:color w:val="1A1A1A"/>
          <w:sz w:val="24"/>
        </w:rPr>
        <w:t>☐  Existe registro de acessos, quando o sistema permitir.</w:t>
      </w:r>
    </w:p>
    <w:p>
      <w:pPr>
        <w:pStyle w:val="ListBullet"/>
        <w:spacing w:after="60"/>
        <w:ind w:left="397"/>
        <w:jc w:val="both"/>
      </w:pPr>
      <w:r>
        <w:rPr>
          <w:rFonts w:ascii="Calibri" w:hAnsi="Calibri"/>
          <w:color w:val="1A1A1A"/>
          <w:sz w:val="24"/>
        </w:rPr>
        <w:t>☐  A política de retenção está declarada, com prazo e critério.</w:t>
      </w:r>
    </w:p>
    <w:p>
      <w:pPr>
        <w:pStyle w:val="ListBullet"/>
        <w:spacing w:after="60"/>
        <w:ind w:left="397"/>
        <w:jc w:val="both"/>
      </w:pPr>
      <w:r>
        <w:rPr>
          <w:rFonts w:ascii="Calibri" w:hAnsi="Calibri"/>
          <w:color w:val="1A1A1A"/>
          <w:sz w:val="24"/>
        </w:rPr>
        <w:t>☐  Existe procedimento de eliminação, com registro.</w:t>
      </w:r>
    </w:p>
    <w:p>
      <w:pPr>
        <w:keepNext/>
        <w:spacing w:before="240" w:after="80"/>
        <w:jc w:val="left"/>
      </w:pPr>
      <w:r>
        <w:rPr>
          <w:rFonts w:ascii="Calibri" w:hAnsi="Calibri"/>
          <w:b/>
          <w:color w:val="143C64"/>
          <w:sz w:val="26"/>
        </w:rPr>
        <w:t>3.4  Bloco D. Terceiros e ferramentas</w:t>
      </w:r>
    </w:p>
    <w:p>
      <w:pPr>
        <w:pStyle w:val="ListBullet"/>
        <w:spacing w:after="60"/>
        <w:ind w:left="397"/>
        <w:jc w:val="both"/>
      </w:pPr>
      <w:r>
        <w:rPr>
          <w:rFonts w:ascii="Calibri" w:hAnsi="Calibri"/>
          <w:color w:val="1A1A1A"/>
          <w:sz w:val="24"/>
        </w:rPr>
        <w:t>☐  Fornecedores que tratam dados do serviço estão identificados.</w:t>
      </w:r>
    </w:p>
    <w:p>
      <w:pPr>
        <w:pStyle w:val="ListBullet"/>
        <w:spacing w:after="60"/>
        <w:ind w:left="397"/>
        <w:jc w:val="both"/>
      </w:pPr>
      <w:r>
        <w:rPr>
          <w:rFonts w:ascii="Calibri" w:hAnsi="Calibri"/>
          <w:color w:val="1A1A1A"/>
          <w:sz w:val="24"/>
        </w:rPr>
        <w:t>☐  A política de dados de cada fornecedor foi analisada quanto a finalidade, retenção, subcontratação e localização do armazenamento.</w:t>
      </w:r>
    </w:p>
    <w:p>
      <w:pPr>
        <w:pStyle w:val="ListBullet"/>
        <w:spacing w:after="60"/>
        <w:ind w:left="397"/>
        <w:jc w:val="both"/>
      </w:pPr>
      <w:r>
        <w:rPr>
          <w:rFonts w:ascii="Calibri" w:hAnsi="Calibri"/>
          <w:color w:val="1A1A1A"/>
          <w:sz w:val="24"/>
        </w:rPr>
        <w:t>☐  Nenhum dado de paciente é inserido em ferramenta cuja política de dados não tenha sido analisada.</w:t>
      </w:r>
    </w:p>
    <w:p>
      <w:pPr>
        <w:pStyle w:val="ListBullet"/>
        <w:spacing w:after="60"/>
        <w:ind w:left="397"/>
        <w:jc w:val="both"/>
      </w:pPr>
      <w:r>
        <w:rPr>
          <w:rFonts w:ascii="Calibri" w:hAnsi="Calibri"/>
          <w:color w:val="1A1A1A"/>
          <w:sz w:val="24"/>
        </w:rPr>
        <w:t>☐  Existe cláusula ou termo que discipline o tratamento pelo fornecedor.</w:t>
      </w:r>
    </w:p>
    <w:p>
      <w:pPr>
        <w:keepNext/>
        <w:spacing w:before="240" w:after="80"/>
        <w:jc w:val="left"/>
      </w:pPr>
      <w:r>
        <w:rPr>
          <w:rFonts w:ascii="Calibri" w:hAnsi="Calibri"/>
          <w:b/>
          <w:color w:val="143C64"/>
          <w:sz w:val="26"/>
        </w:rPr>
        <w:t>3.5  Bloco E. Incidentes e equipe</w:t>
      </w:r>
    </w:p>
    <w:p>
      <w:pPr>
        <w:pStyle w:val="ListBullet"/>
        <w:spacing w:after="60"/>
        <w:ind w:left="397"/>
        <w:jc w:val="both"/>
      </w:pPr>
      <w:r>
        <w:rPr>
          <w:rFonts w:ascii="Calibri" w:hAnsi="Calibri"/>
          <w:color w:val="1A1A1A"/>
          <w:sz w:val="24"/>
        </w:rPr>
        <w:t>☐  Existe procedimento escrito para incidente de segurança, com responsável designado.</w:t>
      </w:r>
    </w:p>
    <w:p>
      <w:pPr>
        <w:pStyle w:val="ListBullet"/>
        <w:spacing w:after="60"/>
        <w:ind w:left="397"/>
        <w:jc w:val="both"/>
      </w:pPr>
      <w:r>
        <w:rPr>
          <w:rFonts w:ascii="Calibri" w:hAnsi="Calibri"/>
          <w:color w:val="1A1A1A"/>
          <w:sz w:val="24"/>
        </w:rPr>
        <w:t>☐  A equipe recebeu treinamento sobre proteção de dados, com registro.</w:t>
      </w:r>
    </w:p>
    <w:p>
      <w:pPr>
        <w:pStyle w:val="ListBullet"/>
        <w:spacing w:after="60"/>
        <w:ind w:left="397"/>
        <w:jc w:val="both"/>
      </w:pPr>
      <w:r>
        <w:rPr>
          <w:rFonts w:ascii="Calibri" w:hAnsi="Calibri"/>
          <w:color w:val="1A1A1A"/>
          <w:sz w:val="24"/>
        </w:rPr>
        <w:t>☐  Existe revisão anual desta conformidade, com data e responsável.</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Erro mais frequente e mais barato de corrigir</w:t>
            </w:r>
          </w:p>
          <w:p>
            <w:pPr>
              <w:spacing w:after="0"/>
              <w:jc w:val="both"/>
            </w:pPr>
            <w:r>
              <w:rPr>
                <w:rFonts w:ascii="Calibri" w:hAnsi="Calibri"/>
                <w:color w:val="1A1A1A"/>
                <w:sz w:val="24"/>
              </w:rPr>
              <w:t>O erro que mais aparece na prática não é sofisticado: é a imagem clínica trafegando e permanecendo em aplicativo de mensagem pessoal do profissional ou da auxiliar. Não há controle de acesso, não há retenção definida, não há registro e o dispositivo é pessoal. Corrigir isso custa pouco e elimina a maior parte da exposição.</w:t>
            </w:r>
          </w:p>
        </w:tc>
      </w:tr>
    </w:tbl>
    <w:p>
      <w:pPr>
        <w:spacing w:after="80"/>
      </w:pPr>
    </w:p>
    <w:p>
      <w:pPr>
        <w:keepNext/>
        <w:spacing w:before="360" w:after="160"/>
        <w:jc w:val="left"/>
        <w:pBdr>
          <w:bottom w:val="single" w:sz="8" w:space="4" w:color="143C64"/>
        </w:pBdr>
      </w:pPr>
      <w:r>
        <w:rPr>
          <w:rFonts w:ascii="Calibri" w:hAnsi="Calibri"/>
          <w:b/>
          <w:color w:val="143C64"/>
          <w:sz w:val="30"/>
        </w:rPr>
        <w:t>4  Registro anual de conformidade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978"/>
        <w:gridCol w:w="5094"/>
      </w:tblGrid>
      <w:tr>
        <w:trPr>
          <w:cantSplit/>
          <w:tblHeader/>
        </w:trPr>
        <w:tc>
          <w:tcPr>
            <w:tcW w:type="dxa" w:w="3978"/>
            <w:shd w:val="clear" w:color="auto" w:fill="143C64"/>
          </w:tcPr>
          <w:p>
            <w:pPr>
              <w:spacing w:after="0"/>
              <w:jc w:val="left"/>
            </w:pPr>
            <w:r/>
            <w:r>
              <w:rPr>
                <w:rFonts w:ascii="Calibri" w:hAnsi="Calibri"/>
                <w:b/>
                <w:color w:val="FFFFFF"/>
                <w:sz w:val="24"/>
              </w:rPr>
              <w:t>Campo</w:t>
            </w:r>
          </w:p>
        </w:tc>
        <w:tc>
          <w:tcPr>
            <w:tcW w:type="dxa" w:w="5094"/>
            <w:shd w:val="clear" w:color="auto" w:fill="143C64"/>
          </w:tcPr>
          <w:p>
            <w:pPr>
              <w:spacing w:after="0"/>
              <w:jc w:val="left"/>
            </w:pPr>
            <w:r/>
            <w:r>
              <w:rPr>
                <w:rFonts w:ascii="Calibri" w:hAnsi="Calibri"/>
                <w:b/>
                <w:color w:val="FFFFFF"/>
                <w:sz w:val="24"/>
              </w:rPr>
              <w:t>Registro</w:t>
            </w:r>
          </w:p>
        </w:tc>
      </w:tr>
      <w:tr>
        <w:trPr>
          <w:cantSplit/>
        </w:trPr>
        <w:tc>
          <w:tcPr>
            <w:tcW w:type="dxa" w:w="3978"/>
          </w:tcPr>
          <w:p>
            <w:pPr>
              <w:spacing w:after="0"/>
              <w:jc w:val="left"/>
            </w:pPr>
            <w:r/>
            <w:r>
              <w:rPr>
                <w:rFonts w:ascii="Calibri" w:hAnsi="Calibri"/>
                <w:b w:val="0"/>
                <w:color w:val="1A1A1A"/>
                <w:sz w:val="24"/>
              </w:rPr>
              <w:t>Ano de referência</w:t>
            </w:r>
          </w:p>
        </w:tc>
        <w:tc>
          <w:tcPr>
            <w:tcW w:type="dxa" w:w="5094"/>
          </w:tcPr>
          <w:p>
            <w:pPr>
              <w:spacing w:after="0"/>
              <w:jc w:val="left"/>
            </w:pPr>
            <w:r/>
            <w:r>
              <w:rPr>
                <w:rFonts w:ascii="Calibri" w:hAnsi="Calibri"/>
                <w:b w:val="0"/>
                <w:color w:val="1A1A1A"/>
                <w:sz w:val="24"/>
              </w:rPr>
              <w:t>___</w:t>
            </w:r>
          </w:p>
        </w:tc>
      </w:tr>
      <w:tr>
        <w:trPr>
          <w:cantSplit/>
        </w:trPr>
        <w:tc>
          <w:tcPr>
            <w:tcW w:type="dxa" w:w="3978"/>
            <w:shd w:val="clear" w:color="auto" w:fill="F2F5F8"/>
          </w:tcPr>
          <w:p>
            <w:pPr>
              <w:spacing w:after="0"/>
              <w:jc w:val="left"/>
            </w:pPr>
            <w:r/>
            <w:r>
              <w:rPr>
                <w:rFonts w:ascii="Calibri" w:hAnsi="Calibri"/>
                <w:b w:val="0"/>
                <w:color w:val="1A1A1A"/>
                <w:sz w:val="24"/>
              </w:rPr>
              <w:t>Responsável pela revisão</w:t>
            </w:r>
          </w:p>
        </w:tc>
        <w:tc>
          <w:tcPr>
            <w:tcW w:type="dxa" w:w="5094"/>
            <w:shd w:val="clear" w:color="auto" w:fill="F2F5F8"/>
          </w:tcPr>
          <w:p>
            <w:pPr>
              <w:spacing w:after="0"/>
              <w:jc w:val="left"/>
            </w:pPr>
            <w:r/>
            <w:r>
              <w:rPr>
                <w:rFonts w:ascii="Calibri" w:hAnsi="Calibri"/>
                <w:b w:val="0"/>
                <w:color w:val="1A1A1A"/>
                <w:sz w:val="24"/>
              </w:rPr>
              <w:t>___</w:t>
            </w:r>
          </w:p>
        </w:tc>
      </w:tr>
      <w:tr>
        <w:trPr>
          <w:cantSplit/>
        </w:trPr>
        <w:tc>
          <w:tcPr>
            <w:tcW w:type="dxa" w:w="3978"/>
          </w:tcPr>
          <w:p>
            <w:pPr>
              <w:spacing w:after="0"/>
              <w:jc w:val="left"/>
            </w:pPr>
            <w:r/>
            <w:r>
              <w:rPr>
                <w:rFonts w:ascii="Calibri" w:hAnsi="Calibri"/>
                <w:b w:val="0"/>
                <w:color w:val="1A1A1A"/>
                <w:sz w:val="24"/>
              </w:rPr>
              <w:t>Blocos com pendência</w:t>
            </w:r>
          </w:p>
        </w:tc>
        <w:tc>
          <w:tcPr>
            <w:tcW w:type="dxa" w:w="5094"/>
          </w:tcPr>
          <w:p>
            <w:pPr>
              <w:spacing w:after="0"/>
              <w:jc w:val="left"/>
            </w:pPr>
            <w:r/>
            <w:r>
              <w:rPr>
                <w:rFonts w:ascii="Calibri" w:hAnsi="Calibri"/>
                <w:b w:val="0"/>
                <w:color w:val="1A1A1A"/>
                <w:sz w:val="24"/>
              </w:rPr>
              <w:t>___</w:t>
            </w:r>
          </w:p>
        </w:tc>
      </w:tr>
      <w:tr>
        <w:trPr>
          <w:cantSplit/>
        </w:trPr>
        <w:tc>
          <w:tcPr>
            <w:tcW w:type="dxa" w:w="3978"/>
            <w:shd w:val="clear" w:color="auto" w:fill="F2F5F8"/>
          </w:tcPr>
          <w:p>
            <w:pPr>
              <w:spacing w:after="0"/>
              <w:jc w:val="left"/>
            </w:pPr>
            <w:r/>
            <w:r>
              <w:rPr>
                <w:rFonts w:ascii="Calibri" w:hAnsi="Calibri"/>
                <w:b w:val="0"/>
                <w:color w:val="1A1A1A"/>
                <w:sz w:val="24"/>
              </w:rPr>
              <w:t>Plano de correção e prazo</w:t>
            </w:r>
          </w:p>
        </w:tc>
        <w:tc>
          <w:tcPr>
            <w:tcW w:type="dxa" w:w="5094"/>
            <w:shd w:val="clear" w:color="auto" w:fill="F2F5F8"/>
          </w:tcPr>
          <w:p>
            <w:pPr>
              <w:spacing w:after="0"/>
              <w:jc w:val="left"/>
            </w:pPr>
            <w:r/>
            <w:r>
              <w:rPr>
                <w:rFonts w:ascii="Calibri" w:hAnsi="Calibri"/>
                <w:b w:val="0"/>
                <w:color w:val="1A1A1A"/>
                <w:sz w:val="24"/>
              </w:rPr>
              <w:t>___</w:t>
            </w:r>
          </w:p>
        </w:tc>
      </w:tr>
      <w:tr>
        <w:trPr>
          <w:cantSplit/>
        </w:trPr>
        <w:tc>
          <w:tcPr>
            <w:tcW w:type="dxa" w:w="3978"/>
          </w:tcPr>
          <w:p>
            <w:pPr>
              <w:spacing w:after="0"/>
              <w:jc w:val="left"/>
            </w:pPr>
            <w:r/>
            <w:r>
              <w:rPr>
                <w:rFonts w:ascii="Calibri" w:hAnsi="Calibri"/>
                <w:b w:val="0"/>
                <w:color w:val="1A1A1A"/>
                <w:sz w:val="24"/>
              </w:rPr>
              <w:t>Data da próxima revisão</w:t>
            </w:r>
          </w:p>
        </w:tc>
        <w:tc>
          <w:tcPr>
            <w:tcW w:type="dxa" w:w="5094"/>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78"/>
        <w:gridCol w:w="3117"/>
        <w:gridCol w:w="3577"/>
      </w:tblGrid>
      <w:tr>
        <w:trPr>
          <w:cantSplit/>
          <w:tblHeader/>
        </w:trPr>
        <w:tc>
          <w:tcPr>
            <w:tcW w:type="dxa" w:w="2378"/>
            <w:shd w:val="clear" w:color="auto" w:fill="143C64"/>
          </w:tcPr>
          <w:p>
            <w:pPr>
              <w:spacing w:after="0"/>
              <w:jc w:val="left"/>
            </w:pPr>
            <w:r/>
            <w:r>
              <w:rPr>
                <w:rFonts w:ascii="Calibri" w:hAnsi="Calibri"/>
                <w:b/>
                <w:color w:val="FFFFFF"/>
                <w:sz w:val="24"/>
              </w:rPr>
              <w:t>Ato</w:t>
            </w:r>
          </w:p>
        </w:tc>
        <w:tc>
          <w:tcPr>
            <w:tcW w:type="dxa" w:w="3117"/>
            <w:shd w:val="clear" w:color="auto" w:fill="143C64"/>
          </w:tcPr>
          <w:p>
            <w:pPr>
              <w:spacing w:after="0"/>
              <w:jc w:val="left"/>
            </w:pPr>
            <w:r/>
            <w:r>
              <w:rPr>
                <w:rFonts w:ascii="Calibri" w:hAnsi="Calibri"/>
                <w:b/>
                <w:color w:val="FFFFFF"/>
                <w:sz w:val="24"/>
              </w:rPr>
              <w:t>Objeto</w:t>
            </w:r>
          </w:p>
        </w:tc>
        <w:tc>
          <w:tcPr>
            <w:tcW w:type="dxa" w:w="3577"/>
            <w:shd w:val="clear" w:color="auto" w:fill="143C64"/>
          </w:tcPr>
          <w:p>
            <w:pPr>
              <w:spacing w:after="0"/>
              <w:jc w:val="left"/>
            </w:pPr>
            <w:r/>
            <w:r>
              <w:rPr>
                <w:rFonts w:ascii="Calibri" w:hAnsi="Calibri"/>
                <w:b/>
                <w:color w:val="FFFFFF"/>
                <w:sz w:val="24"/>
              </w:rPr>
              <w:t>Incidência no pacote</w:t>
            </w:r>
          </w:p>
        </w:tc>
      </w:tr>
      <w:tr>
        <w:trPr>
          <w:cantSplit/>
        </w:trPr>
        <w:tc>
          <w:tcPr>
            <w:tcW w:type="dxa" w:w="2378"/>
          </w:tcPr>
          <w:p>
            <w:pPr>
              <w:spacing w:after="0"/>
              <w:jc w:val="left"/>
            </w:pPr>
            <w:r/>
            <w:r>
              <w:rPr>
                <w:rFonts w:ascii="Calibri" w:hAnsi="Calibri"/>
                <w:b w:val="0"/>
                <w:color w:val="1A1A1A"/>
                <w:sz w:val="24"/>
              </w:rPr>
              <w:t>Lei nº 5.081, de 24 de agosto de 1966</w:t>
            </w:r>
          </w:p>
        </w:tc>
        <w:tc>
          <w:tcPr>
            <w:tcW w:type="dxa" w:w="3117"/>
          </w:tcPr>
          <w:p>
            <w:pPr>
              <w:spacing w:after="0"/>
              <w:jc w:val="left"/>
            </w:pPr>
            <w:r/>
            <w:r>
              <w:rPr>
                <w:rFonts w:ascii="Calibri" w:hAnsi="Calibri"/>
                <w:b w:val="0"/>
                <w:color w:val="1A1A1A"/>
                <w:sz w:val="24"/>
              </w:rPr>
              <w:t>Regula o exercício da Odontologia no Brasil.</w:t>
            </w:r>
          </w:p>
        </w:tc>
        <w:tc>
          <w:tcPr>
            <w:tcW w:type="dxa" w:w="3577"/>
          </w:tcPr>
          <w:p>
            <w:pPr>
              <w:spacing w:after="0"/>
              <w:jc w:val="left"/>
            </w:pPr>
            <w:r/>
            <w:r>
              <w:rPr>
                <w:rFonts w:ascii="Calibri" w:hAnsi="Calibri"/>
                <w:b w:val="0"/>
                <w:color w:val="1A1A1A"/>
                <w:sz w:val="24"/>
              </w:rPr>
              <w:t>Base legal do exercício profissional.</w:t>
            </w:r>
          </w:p>
        </w:tc>
      </w:tr>
      <w:tr>
        <w:trPr>
          <w:cantSplit/>
        </w:trPr>
        <w:tc>
          <w:tcPr>
            <w:tcW w:type="dxa" w:w="2378"/>
            <w:shd w:val="clear" w:color="auto" w:fill="F2F5F8"/>
          </w:tcPr>
          <w:p>
            <w:pPr>
              <w:spacing w:after="0"/>
              <w:jc w:val="left"/>
            </w:pPr>
            <w:r/>
            <w:r>
              <w:rPr>
                <w:rFonts w:ascii="Calibri" w:hAnsi="Calibri"/>
                <w:b w:val="0"/>
                <w:color w:val="1A1A1A"/>
                <w:sz w:val="24"/>
              </w:rPr>
              <w:t>Resolução CFO nº 118/2012</w:t>
            </w:r>
          </w:p>
        </w:tc>
        <w:tc>
          <w:tcPr>
            <w:tcW w:type="dxa" w:w="3117"/>
            <w:shd w:val="clear" w:color="auto" w:fill="F2F5F8"/>
          </w:tcPr>
          <w:p>
            <w:pPr>
              <w:spacing w:after="0"/>
              <w:jc w:val="left"/>
            </w:pPr>
            <w:r/>
            <w:r>
              <w:rPr>
                <w:rFonts w:ascii="Calibri" w:hAnsi="Calibri"/>
                <w:b w:val="0"/>
                <w:color w:val="1A1A1A"/>
                <w:sz w:val="24"/>
              </w:rPr>
              <w:t>Código de Ética Odontológica.</w:t>
            </w:r>
          </w:p>
        </w:tc>
        <w:tc>
          <w:tcPr>
            <w:tcW w:type="dxa" w:w="3577"/>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378"/>
          </w:tcPr>
          <w:p>
            <w:pPr>
              <w:spacing w:after="0"/>
              <w:jc w:val="left"/>
            </w:pPr>
            <w:r/>
            <w:r>
              <w:rPr>
                <w:rFonts w:ascii="Calibri" w:hAnsi="Calibri"/>
                <w:b w:val="0"/>
                <w:color w:val="1A1A1A"/>
                <w:sz w:val="24"/>
              </w:rPr>
              <w:t>RDC Anvisa nº 1.002, de 15 de dezembro de 2025</w:t>
            </w:r>
          </w:p>
        </w:tc>
        <w:tc>
          <w:tcPr>
            <w:tcW w:type="dxa" w:w="3117"/>
          </w:tcPr>
          <w:p>
            <w:pPr>
              <w:spacing w:after="0"/>
              <w:jc w:val="left"/>
            </w:pPr>
            <w:r/>
            <w:r>
              <w:rPr>
                <w:rFonts w:ascii="Calibri" w:hAnsi="Calibri"/>
                <w:b w:val="0"/>
                <w:color w:val="1A1A1A"/>
                <w:sz w:val="24"/>
              </w:rPr>
              <w:t>Boas Práticas de Funcionamento para serviços que prestam assistência odontológica.</w:t>
            </w:r>
          </w:p>
        </w:tc>
        <w:tc>
          <w:tcPr>
            <w:tcW w:type="dxa" w:w="3577"/>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378"/>
            <w:shd w:val="clear" w:color="auto" w:fill="F2F5F8"/>
          </w:tcPr>
          <w:p>
            <w:pPr>
              <w:spacing w:after="0"/>
              <w:jc w:val="left"/>
            </w:pPr>
            <w:r/>
            <w:r>
              <w:rPr>
                <w:rFonts w:ascii="Calibri" w:hAnsi="Calibri"/>
                <w:b w:val="0"/>
                <w:color w:val="1A1A1A"/>
                <w:sz w:val="24"/>
              </w:rPr>
              <w:t>RDC Anvisa nº 63/2011</w:t>
            </w:r>
          </w:p>
        </w:tc>
        <w:tc>
          <w:tcPr>
            <w:tcW w:type="dxa" w:w="3117"/>
            <w:shd w:val="clear" w:color="auto" w:fill="F2F5F8"/>
          </w:tcPr>
          <w:p>
            <w:pPr>
              <w:spacing w:after="0"/>
              <w:jc w:val="left"/>
            </w:pPr>
            <w:r/>
            <w:r>
              <w:rPr>
                <w:rFonts w:ascii="Calibri" w:hAnsi="Calibri"/>
                <w:b w:val="0"/>
                <w:color w:val="1A1A1A"/>
                <w:sz w:val="24"/>
              </w:rPr>
              <w:t>Boas Práticas de Funcionamento para serviços de saúde.</w:t>
            </w:r>
          </w:p>
        </w:tc>
        <w:tc>
          <w:tcPr>
            <w:tcW w:type="dxa" w:w="3577"/>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378"/>
          </w:tcPr>
          <w:p>
            <w:pPr>
              <w:spacing w:after="0"/>
              <w:jc w:val="left"/>
            </w:pPr>
            <w:r/>
            <w:r>
              <w:rPr>
                <w:rFonts w:ascii="Calibri" w:hAnsi="Calibri"/>
                <w:b w:val="0"/>
                <w:color w:val="1A1A1A"/>
                <w:sz w:val="24"/>
              </w:rPr>
              <w:t>RDC Anvisa nº 509/2021</w:t>
            </w:r>
          </w:p>
        </w:tc>
        <w:tc>
          <w:tcPr>
            <w:tcW w:type="dxa" w:w="3117"/>
          </w:tcPr>
          <w:p>
            <w:pPr>
              <w:spacing w:after="0"/>
              <w:jc w:val="left"/>
            </w:pPr>
            <w:r/>
            <w:r>
              <w:rPr>
                <w:rFonts w:ascii="Calibri" w:hAnsi="Calibri"/>
                <w:b w:val="0"/>
                <w:color w:val="1A1A1A"/>
                <w:sz w:val="24"/>
              </w:rPr>
              <w:t>Gerenciamento de tecnologias em serviços de saúde.</w:t>
            </w:r>
          </w:p>
        </w:tc>
        <w:tc>
          <w:tcPr>
            <w:tcW w:type="dxa" w:w="3577"/>
          </w:tcPr>
          <w:p>
            <w:pPr>
              <w:spacing w:after="0"/>
              <w:jc w:val="left"/>
            </w:pPr>
            <w:r/>
            <w:r>
              <w:rPr>
                <w:rFonts w:ascii="Calibri" w:hAnsi="Calibri"/>
                <w:b w:val="0"/>
                <w:color w:val="1A1A1A"/>
                <w:sz w:val="24"/>
              </w:rPr>
              <w:t>Plano de gerenciamento, rastreabilidade, guarda e monitoramento.</w:t>
            </w:r>
          </w:p>
        </w:tc>
      </w:tr>
      <w:tr>
        <w:trPr>
          <w:cantSplit/>
        </w:trPr>
        <w:tc>
          <w:tcPr>
            <w:tcW w:type="dxa" w:w="2378"/>
            <w:shd w:val="clear" w:color="auto" w:fill="F2F5F8"/>
          </w:tcPr>
          <w:p>
            <w:pPr>
              <w:spacing w:after="0"/>
              <w:jc w:val="left"/>
            </w:pPr>
            <w:r/>
            <w:r>
              <w:rPr>
                <w:rFonts w:ascii="Calibri" w:hAnsi="Calibri"/>
                <w:b w:val="0"/>
                <w:color w:val="1A1A1A"/>
                <w:sz w:val="24"/>
              </w:rPr>
              <w:t>RDC Anvisa nº 751/2022</w:t>
            </w:r>
          </w:p>
        </w:tc>
        <w:tc>
          <w:tcPr>
            <w:tcW w:type="dxa" w:w="3117"/>
            <w:shd w:val="clear" w:color="auto" w:fill="F2F5F8"/>
          </w:tcPr>
          <w:p>
            <w:pPr>
              <w:spacing w:after="0"/>
              <w:jc w:val="left"/>
            </w:pPr>
            <w:r/>
            <w:r>
              <w:rPr>
                <w:rFonts w:ascii="Calibri" w:hAnsi="Calibri"/>
                <w:b w:val="0"/>
                <w:color w:val="1A1A1A"/>
                <w:sz w:val="24"/>
              </w:rPr>
              <w:t>Dispositivos médicos: classificação e regularização.</w:t>
            </w:r>
          </w:p>
        </w:tc>
        <w:tc>
          <w:tcPr>
            <w:tcW w:type="dxa" w:w="3577"/>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378"/>
          </w:tcPr>
          <w:p>
            <w:pPr>
              <w:spacing w:after="0"/>
              <w:jc w:val="left"/>
            </w:pPr>
            <w:r/>
            <w:r>
              <w:rPr>
                <w:rFonts w:ascii="Calibri" w:hAnsi="Calibri"/>
                <w:b w:val="0"/>
                <w:color w:val="1A1A1A"/>
                <w:sz w:val="24"/>
              </w:rPr>
              <w:t>RDC Anvisa nº 549/2021</w:t>
            </w:r>
          </w:p>
        </w:tc>
        <w:tc>
          <w:tcPr>
            <w:tcW w:type="dxa" w:w="3117"/>
          </w:tcPr>
          <w:p>
            <w:pPr>
              <w:spacing w:after="0"/>
              <w:jc w:val="left"/>
            </w:pPr>
            <w:r/>
            <w:r>
              <w:rPr>
                <w:rFonts w:ascii="Calibri" w:hAnsi="Calibri"/>
                <w:b w:val="0"/>
                <w:color w:val="1A1A1A"/>
                <w:sz w:val="24"/>
              </w:rPr>
              <w:t>Certificação de conformidade de equipamentos sob regime aplicável.</w:t>
            </w:r>
          </w:p>
        </w:tc>
        <w:tc>
          <w:tcPr>
            <w:tcW w:type="dxa" w:w="3577"/>
          </w:tcPr>
          <w:p>
            <w:pPr>
              <w:spacing w:after="0"/>
              <w:jc w:val="left"/>
            </w:pPr>
            <w:r/>
            <w:r>
              <w:rPr>
                <w:rFonts w:ascii="Calibri" w:hAnsi="Calibri"/>
                <w:b w:val="0"/>
                <w:color w:val="1A1A1A"/>
                <w:sz w:val="24"/>
              </w:rPr>
              <w:t>Conformidade de equipamentos eletromédicos.</w:t>
            </w:r>
          </w:p>
        </w:tc>
      </w:tr>
      <w:tr>
        <w:trPr>
          <w:cantSplit/>
        </w:trPr>
        <w:tc>
          <w:tcPr>
            <w:tcW w:type="dxa" w:w="2378"/>
            <w:shd w:val="clear" w:color="auto" w:fill="F2F5F8"/>
          </w:tcPr>
          <w:p>
            <w:pPr>
              <w:spacing w:after="0"/>
              <w:jc w:val="left"/>
            </w:pPr>
            <w:r/>
            <w:r>
              <w:rPr>
                <w:rFonts w:ascii="Calibri" w:hAnsi="Calibri"/>
                <w:b w:val="0"/>
                <w:color w:val="1A1A1A"/>
                <w:sz w:val="24"/>
              </w:rPr>
              <w:t>Lei nº 13.709/2018</w:t>
            </w:r>
          </w:p>
        </w:tc>
        <w:tc>
          <w:tcPr>
            <w:tcW w:type="dxa" w:w="3117"/>
            <w:shd w:val="clear" w:color="auto" w:fill="F2F5F8"/>
          </w:tcPr>
          <w:p>
            <w:pPr>
              <w:spacing w:after="0"/>
              <w:jc w:val="left"/>
            </w:pPr>
            <w:r/>
            <w:r>
              <w:rPr>
                <w:rFonts w:ascii="Calibri" w:hAnsi="Calibri"/>
                <w:b w:val="0"/>
                <w:color w:val="1A1A1A"/>
                <w:sz w:val="24"/>
              </w:rPr>
              <w:t>Lei Geral de Proteção de Dados Pessoais.</w:t>
            </w:r>
          </w:p>
        </w:tc>
        <w:tc>
          <w:tcPr>
            <w:tcW w:type="dxa" w:w="3577"/>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378"/>
          </w:tcPr>
          <w:p>
            <w:pPr>
              <w:spacing w:after="0"/>
              <w:jc w:val="left"/>
            </w:pPr>
            <w:r/>
            <w:r>
              <w:rPr>
                <w:rFonts w:ascii="Calibri" w:hAnsi="Calibri"/>
                <w:b w:val="0"/>
                <w:color w:val="1A1A1A"/>
                <w:sz w:val="24"/>
              </w:rPr>
              <w:t>Lei nº 15.378, de 6 de abril de 2026</w:t>
            </w:r>
          </w:p>
        </w:tc>
        <w:tc>
          <w:tcPr>
            <w:tcW w:type="dxa" w:w="3117"/>
          </w:tcPr>
          <w:p>
            <w:pPr>
              <w:spacing w:after="0"/>
              <w:jc w:val="left"/>
            </w:pPr>
            <w:r/>
            <w:r>
              <w:rPr>
                <w:rFonts w:ascii="Calibri" w:hAnsi="Calibri"/>
                <w:b w:val="0"/>
                <w:color w:val="1A1A1A"/>
                <w:sz w:val="24"/>
              </w:rPr>
              <w:t>Institui o Estatuto dos Direitos do Paciente.</w:t>
            </w:r>
          </w:p>
        </w:tc>
        <w:tc>
          <w:tcPr>
            <w:tcW w:type="dxa" w:w="3577"/>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378"/>
            <w:shd w:val="clear" w:color="auto" w:fill="F2F5F8"/>
          </w:tcPr>
          <w:p>
            <w:pPr>
              <w:spacing w:after="0"/>
              <w:jc w:val="left"/>
            </w:pPr>
            <w:r/>
            <w:r>
              <w:rPr>
                <w:rFonts w:ascii="Calibri" w:hAnsi="Calibri"/>
                <w:b w:val="0"/>
                <w:color w:val="1A1A1A"/>
                <w:sz w:val="24"/>
              </w:rPr>
              <w:t>Lei nº 12.842/2013</w:t>
            </w:r>
          </w:p>
        </w:tc>
        <w:tc>
          <w:tcPr>
            <w:tcW w:type="dxa" w:w="3117"/>
            <w:shd w:val="clear" w:color="auto" w:fill="F2F5F8"/>
          </w:tcPr>
          <w:p>
            <w:pPr>
              <w:spacing w:after="0"/>
              <w:jc w:val="left"/>
            </w:pPr>
            <w:r/>
            <w:r>
              <w:rPr>
                <w:rFonts w:ascii="Calibri" w:hAnsi="Calibri"/>
                <w:b w:val="0"/>
                <w:color w:val="1A1A1A"/>
                <w:sz w:val="24"/>
              </w:rPr>
              <w:t>Lei do Ato Médico.</w:t>
            </w:r>
          </w:p>
        </w:tc>
        <w:tc>
          <w:tcPr>
            <w:tcW w:type="dxa" w:w="3577"/>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378"/>
          </w:tcPr>
          <w:p>
            <w:pPr>
              <w:spacing w:after="0"/>
              <w:jc w:val="left"/>
            </w:pPr>
            <w:r/>
            <w:r>
              <w:rPr>
                <w:rFonts w:ascii="Calibri" w:hAnsi="Calibri"/>
                <w:b w:val="0"/>
                <w:color w:val="1A1A1A"/>
                <w:sz w:val="24"/>
              </w:rPr>
              <w:t>Portaria CRO-MG nº 190/2026</w:t>
            </w:r>
          </w:p>
        </w:tc>
        <w:tc>
          <w:tcPr>
            <w:tcW w:type="dxa" w:w="3117"/>
          </w:tcPr>
          <w:p>
            <w:pPr>
              <w:spacing w:after="0"/>
              <w:jc w:val="left"/>
            </w:pPr>
            <w:r/>
            <w:r>
              <w:rPr>
                <w:rFonts w:ascii="Calibri" w:hAnsi="Calibri"/>
                <w:b w:val="0"/>
                <w:color w:val="1A1A1A"/>
                <w:sz w:val="24"/>
              </w:rPr>
              <w:t>Constitui a Câmara Técnica de HOF e seus Núcleos.</w:t>
            </w:r>
          </w:p>
        </w:tc>
        <w:tc>
          <w:tcPr>
            <w:tcW w:type="dxa" w:w="3577"/>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45"/>
        <w:gridCol w:w="2255"/>
        <w:gridCol w:w="3073"/>
      </w:tblGrid>
      <w:tr>
        <w:trPr>
          <w:cantSplit/>
          <w:tblHeader/>
        </w:trPr>
        <w:tc>
          <w:tcPr>
            <w:tcW w:type="dxa" w:w="3745"/>
            <w:shd w:val="clear" w:color="auto" w:fill="143C64"/>
          </w:tcPr>
          <w:p>
            <w:pPr>
              <w:spacing w:after="0"/>
              <w:jc w:val="left"/>
            </w:pPr>
            <w:r/>
            <w:r>
              <w:rPr>
                <w:rFonts w:ascii="Calibri" w:hAnsi="Calibri"/>
                <w:b/>
                <w:color w:val="FFFFFF"/>
                <w:sz w:val="24"/>
              </w:rPr>
              <w:t>Referência</w:t>
            </w:r>
          </w:p>
        </w:tc>
        <w:tc>
          <w:tcPr>
            <w:tcW w:type="dxa" w:w="2255"/>
            <w:shd w:val="clear" w:color="auto" w:fill="143C64"/>
          </w:tcPr>
          <w:p>
            <w:pPr>
              <w:spacing w:after="0"/>
              <w:jc w:val="left"/>
            </w:pPr>
            <w:r/>
            <w:r>
              <w:rPr>
                <w:rFonts w:ascii="Calibri" w:hAnsi="Calibri"/>
                <w:b/>
                <w:color w:val="FFFFFF"/>
                <w:sz w:val="24"/>
              </w:rPr>
              <w:t>Desenho</w:t>
            </w:r>
          </w:p>
        </w:tc>
        <w:tc>
          <w:tcPr>
            <w:tcW w:type="dxa" w:w="3073"/>
            <w:shd w:val="clear" w:color="auto" w:fill="143C64"/>
          </w:tcPr>
          <w:p>
            <w:pPr>
              <w:spacing w:after="0"/>
              <w:jc w:val="left"/>
            </w:pPr>
            <w:r/>
            <w:r>
              <w:rPr>
                <w:rFonts w:ascii="Calibri" w:hAnsi="Calibri"/>
                <w:b/>
                <w:color w:val="FFFFFF"/>
                <w:sz w:val="24"/>
              </w:rPr>
              <w:t>Identificadores e verificação</w:t>
            </w:r>
          </w:p>
        </w:tc>
      </w:tr>
      <w:tr>
        <w:trPr>
          <w:cantSplit/>
        </w:trPr>
        <w:tc>
          <w:tcPr>
            <w:tcW w:type="dxa" w:w="3745"/>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255"/>
          </w:tcPr>
          <w:p>
            <w:pPr>
              <w:spacing w:after="0"/>
              <w:jc w:val="left"/>
            </w:pPr>
            <w:r/>
            <w:r>
              <w:rPr>
                <w:rFonts w:ascii="Calibri" w:hAnsi="Calibri"/>
                <w:b w:val="0"/>
                <w:color w:val="1A1A1A"/>
                <w:sz w:val="24"/>
              </w:rPr>
              <w:t>Revisão sistemática</w:t>
            </w:r>
          </w:p>
        </w:tc>
        <w:tc>
          <w:tcPr>
            <w:tcW w:type="dxa" w:w="307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255"/>
            <w:shd w:val="clear" w:color="auto" w:fill="F2F5F8"/>
          </w:tcPr>
          <w:p>
            <w:pPr>
              <w:spacing w:after="0"/>
              <w:jc w:val="left"/>
            </w:pPr>
            <w:r/>
            <w:r>
              <w:rPr>
                <w:rFonts w:ascii="Calibri" w:hAnsi="Calibri"/>
                <w:b w:val="0"/>
                <w:color w:val="1A1A1A"/>
                <w:sz w:val="24"/>
              </w:rPr>
              <w:t>Revisão (35 artigos, PRISMA 2020)</w:t>
            </w:r>
          </w:p>
        </w:tc>
        <w:tc>
          <w:tcPr>
            <w:tcW w:type="dxa" w:w="307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255"/>
          </w:tcPr>
          <w:p>
            <w:pPr>
              <w:spacing w:after="0"/>
              <w:jc w:val="left"/>
            </w:pPr>
            <w:r/>
            <w:r>
              <w:rPr>
                <w:rFonts w:ascii="Calibri" w:hAnsi="Calibri"/>
                <w:b w:val="0"/>
                <w:color w:val="1A1A1A"/>
                <w:sz w:val="24"/>
              </w:rPr>
              <w:t>Revisão</w:t>
            </w:r>
          </w:p>
        </w:tc>
        <w:tc>
          <w:tcPr>
            <w:tcW w:type="dxa" w:w="307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255"/>
            <w:shd w:val="clear" w:color="auto" w:fill="F2F5F8"/>
          </w:tcPr>
          <w:p>
            <w:pPr>
              <w:spacing w:after="0"/>
              <w:jc w:val="left"/>
            </w:pPr>
            <w:r/>
            <w:r>
              <w:rPr>
                <w:rFonts w:ascii="Calibri" w:hAnsi="Calibri"/>
                <w:b w:val="0"/>
                <w:color w:val="1A1A1A"/>
                <w:sz w:val="24"/>
              </w:rPr>
              <w:t>Estudo transversal, 57 participantes</w:t>
            </w:r>
          </w:p>
        </w:tc>
        <w:tc>
          <w:tcPr>
            <w:tcW w:type="dxa" w:w="307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255"/>
          </w:tcPr>
          <w:p>
            <w:pPr>
              <w:spacing w:after="0"/>
              <w:jc w:val="left"/>
            </w:pPr>
            <w:r/>
            <w:r>
              <w:rPr>
                <w:rFonts w:ascii="Calibri" w:hAnsi="Calibri"/>
                <w:b w:val="0"/>
                <w:color w:val="1A1A1A"/>
                <w:sz w:val="24"/>
              </w:rPr>
              <w:t>Revisão sistemática (29 de 1.832 registros)</w:t>
            </w:r>
          </w:p>
        </w:tc>
        <w:tc>
          <w:tcPr>
            <w:tcW w:type="dxa" w:w="307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N5-DAD-01 · Política de IA e Proteção de Dados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N5-DAD-01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