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POP-N5-15  Documentação e guarda de exames de imagem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51"/>
        <w:gridCol w:w="5721"/>
      </w:tblGrid>
      <w:tr>
        <w:trPr>
          <w:cantSplit/>
          <w:tblHeader/>
        </w:trPr>
        <w:tc>
          <w:tcPr>
            <w:tcW w:type="dxa" w:w="3351"/>
            <w:shd w:val="clear" w:color="auto" w:fill="143C64"/>
          </w:tcPr>
          <w:p>
            <w:pPr>
              <w:spacing w:after="0"/>
              <w:jc w:val="left"/>
            </w:pPr>
            <w:r/>
            <w:r>
              <w:rPr>
                <w:rFonts w:ascii="Calibri" w:hAnsi="Calibri"/>
                <w:b/>
                <w:color w:val="FFFFFF"/>
                <w:sz w:val="24"/>
              </w:rPr>
              <w:t>Campo</w:t>
            </w:r>
          </w:p>
        </w:tc>
        <w:tc>
          <w:tcPr>
            <w:tcW w:type="dxa" w:w="5721"/>
            <w:shd w:val="clear" w:color="auto" w:fill="143C64"/>
          </w:tcPr>
          <w:p>
            <w:pPr>
              <w:spacing w:after="0"/>
              <w:jc w:val="left"/>
            </w:pPr>
            <w:r/>
            <w:r>
              <w:rPr>
                <w:rFonts w:ascii="Calibri" w:hAnsi="Calibri"/>
                <w:b/>
                <w:color w:val="FFFFFF"/>
                <w:sz w:val="24"/>
              </w:rPr>
              <w:t>Conteúdo</w:t>
            </w:r>
          </w:p>
        </w:tc>
      </w:tr>
      <w:tr>
        <w:trPr>
          <w:cantSplit/>
        </w:trPr>
        <w:tc>
          <w:tcPr>
            <w:tcW w:type="dxa" w:w="3351"/>
          </w:tcPr>
          <w:p>
            <w:pPr>
              <w:spacing w:after="0"/>
              <w:jc w:val="left"/>
            </w:pPr>
            <w:r/>
            <w:r>
              <w:rPr>
                <w:rFonts w:ascii="Calibri" w:hAnsi="Calibri"/>
                <w:b/>
                <w:color w:val="1A1A1A"/>
                <w:sz w:val="24"/>
              </w:rPr>
              <w:t>1. Identificação</w:t>
            </w:r>
          </w:p>
        </w:tc>
        <w:tc>
          <w:tcPr>
            <w:tcW w:type="dxa" w:w="5721"/>
          </w:tcPr>
          <w:p>
            <w:pPr>
              <w:spacing w:after="0"/>
              <w:jc w:val="left"/>
            </w:pPr>
            <w:r/>
            <w:r>
              <w:rPr>
                <w:rFonts w:ascii="Calibri" w:hAnsi="Calibri"/>
                <w:b w:val="0"/>
                <w:color w:val="1A1A1A"/>
                <w:sz w:val="24"/>
              </w:rPr>
              <w:t>Código POP-N5-15. Versão 1.0. Emissão em 26 de agosto de 2026. Próxima revisão em até doze meses. Onda de produção 3. Situação de escopo: Parcial. Emissão de laudo suspensa até definição institucional de escopo. Responsável técnico pela redação: Campo de preenchimento pelo serviço.</w:t>
            </w:r>
          </w:p>
        </w:tc>
      </w:tr>
      <w:tr>
        <w:trPr>
          <w:cantSplit/>
        </w:trPr>
        <w:tc>
          <w:tcPr>
            <w:tcW w:type="dxa" w:w="3351"/>
            <w:shd w:val="clear" w:color="auto" w:fill="F2F5F8"/>
          </w:tcPr>
          <w:p>
            <w:pPr>
              <w:spacing w:after="0"/>
              <w:jc w:val="left"/>
            </w:pPr>
            <w:r/>
            <w:r>
              <w:rPr>
                <w:rFonts w:ascii="Calibri" w:hAnsi="Calibri"/>
                <w:b/>
                <w:color w:val="1A1A1A"/>
                <w:sz w:val="24"/>
              </w:rPr>
              <w:t>2. Objetivo e alcance</w:t>
            </w:r>
          </w:p>
        </w:tc>
        <w:tc>
          <w:tcPr>
            <w:tcW w:type="dxa" w:w="5721"/>
            <w:shd w:val="clear" w:color="auto" w:fill="F2F5F8"/>
          </w:tcPr>
          <w:p>
            <w:pPr>
              <w:spacing w:after="0"/>
              <w:jc w:val="left"/>
            </w:pPr>
            <w:r/>
            <w:r>
              <w:rPr>
                <w:rFonts w:ascii="Calibri" w:hAnsi="Calibri"/>
                <w:b w:val="0"/>
                <w:color w:val="1A1A1A"/>
                <w:sz w:val="24"/>
              </w:rPr>
              <w:t>Padronizar a guarda, a identificação, o controle de acesso e a retenção de exames de imagem obtidos ou recebidos pelo serviço. Este POP trata de documentação e de proteção de dados. A emissão de laudo com descrição de achados e conclusão está fora do seu escopo e permanece suspensa até manifestação institucional, conforme registrado no documento 11.</w:t>
            </w:r>
          </w:p>
        </w:tc>
      </w:tr>
      <w:tr>
        <w:trPr>
          <w:cantSplit/>
        </w:trPr>
        <w:tc>
          <w:tcPr>
            <w:tcW w:type="dxa" w:w="3351"/>
          </w:tcPr>
          <w:p>
            <w:pPr>
              <w:spacing w:after="0"/>
              <w:jc w:val="left"/>
            </w:pPr>
            <w:r/>
            <w:r>
              <w:rPr>
                <w:rFonts w:ascii="Calibri" w:hAnsi="Calibri"/>
                <w:b/>
                <w:color w:val="1A1A1A"/>
                <w:sz w:val="24"/>
              </w:rPr>
              <w:t>3. Situação regulatória</w:t>
            </w:r>
          </w:p>
        </w:tc>
        <w:tc>
          <w:tcPr>
            <w:tcW w:type="dxa" w:w="5721"/>
          </w:tcPr>
          <w:p>
            <w:pPr>
              <w:spacing w:after="0"/>
              <w:jc w:val="left"/>
            </w:pPr>
            <w:r/>
            <w:r>
              <w:rPr>
                <w:rFonts w:ascii="Calibri" w:hAnsi="Calibri"/>
                <w:b w:val="0"/>
                <w:color w:val="1A1A1A"/>
                <w:sz w:val="24"/>
              </w:rPr>
              <w:t>Lei nº 13.709/2018 e Lei nº 15.378/2026 quanto ao tratamento e ao acesso. RDC Anvisa nº 1.002/2025 quanto à documentação do serviço. A competência para produção e interpretação de exame de imagem é matéria sob discussão judicial na data desta versão e não é objeto deste POP.</w:t>
            </w:r>
          </w:p>
        </w:tc>
      </w:tr>
      <w:tr>
        <w:trPr>
          <w:cantSplit/>
        </w:trPr>
        <w:tc>
          <w:tcPr>
            <w:tcW w:type="dxa" w:w="3351"/>
            <w:shd w:val="clear" w:color="auto" w:fill="F2F5F8"/>
          </w:tcPr>
          <w:p>
            <w:pPr>
              <w:spacing w:after="0"/>
              <w:jc w:val="left"/>
            </w:pPr>
            <w:r/>
            <w:r>
              <w:rPr>
                <w:rFonts w:ascii="Calibri" w:hAnsi="Calibri"/>
                <w:b/>
                <w:color w:val="1A1A1A"/>
                <w:sz w:val="24"/>
              </w:rPr>
              <w:t>4. Competência exigida</w:t>
            </w:r>
          </w:p>
        </w:tc>
        <w:tc>
          <w:tcPr>
            <w:tcW w:type="dxa" w:w="5721"/>
            <w:shd w:val="clear" w:color="auto" w:fill="F2F5F8"/>
          </w:tcPr>
          <w:p>
            <w:pPr>
              <w:spacing w:after="0"/>
              <w:jc w:val="left"/>
            </w:pPr>
            <w:r/>
            <w:r>
              <w:rPr>
                <w:rFonts w:ascii="Calibri" w:hAnsi="Calibri"/>
                <w:b w:val="0"/>
                <w:color w:val="1A1A1A"/>
                <w:sz w:val="24"/>
              </w:rPr>
              <w:t>Responsável Técnico pela política de guarda e de acesso. A obtenção de imagem, quando houver, observa a competência profissional definida institucionalmente.</w:t>
            </w:r>
          </w:p>
        </w:tc>
      </w:tr>
      <w:tr>
        <w:trPr>
          <w:cantSplit/>
        </w:trPr>
        <w:tc>
          <w:tcPr>
            <w:tcW w:type="dxa" w:w="3351"/>
          </w:tcPr>
          <w:p>
            <w:pPr>
              <w:spacing w:after="0"/>
              <w:jc w:val="left"/>
            </w:pPr>
            <w:r/>
            <w:r>
              <w:rPr>
                <w:rFonts w:ascii="Calibri" w:hAnsi="Calibri"/>
                <w:b/>
                <w:color w:val="1A1A1A"/>
                <w:sz w:val="24"/>
              </w:rPr>
              <w:t>5. Materiais e equipamentos</w:t>
            </w:r>
          </w:p>
        </w:tc>
        <w:tc>
          <w:tcPr>
            <w:tcW w:type="dxa" w:w="5721"/>
          </w:tcPr>
          <w:p>
            <w:pPr>
              <w:spacing w:after="0"/>
              <w:jc w:val="left"/>
            </w:pPr>
            <w:r/>
            <w:r>
              <w:rPr>
                <w:rFonts w:ascii="Calibri" w:hAnsi="Calibri"/>
                <w:b w:val="0"/>
                <w:color w:val="1A1A1A"/>
                <w:sz w:val="24"/>
              </w:rPr>
              <w:t>Sistema de armazenamento com controle de acesso; política de retenção declarada; termo de consentimento específico; registro de acessos.</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finalidade declarada.</w:t>
      </w:r>
    </w:p>
    <w:p>
      <w:pPr>
        <w:pStyle w:val="ListBullet"/>
        <w:spacing w:after="60"/>
        <w:ind w:left="397"/>
        <w:jc w:val="both"/>
      </w:pPr>
      <w:r>
        <w:rPr>
          <w:rFonts w:ascii="Calibri" w:hAnsi="Calibri"/>
          <w:color w:val="1A1A1A"/>
          <w:sz w:val="24"/>
        </w:rPr>
        <w:t>☐  Identificação inequívoca do paciente associada ao arquivo.</w:t>
      </w:r>
    </w:p>
    <w:p>
      <w:pPr>
        <w:pStyle w:val="ListBullet"/>
        <w:spacing w:after="60"/>
        <w:ind w:left="397"/>
        <w:jc w:val="both"/>
      </w:pPr>
      <w:r>
        <w:rPr>
          <w:rFonts w:ascii="Calibri" w:hAnsi="Calibri"/>
          <w:color w:val="1A1A1A"/>
          <w:sz w:val="24"/>
        </w:rPr>
        <w:t>☐  Controle de acesso ativo e lista de pessoas autorizadas atualizada.</w:t>
      </w:r>
    </w:p>
    <w:p>
      <w:pPr>
        <w:pStyle w:val="ListBullet"/>
        <w:spacing w:after="60"/>
        <w:ind w:left="397"/>
        <w:jc w:val="both"/>
      </w:pPr>
      <w:r>
        <w:rPr>
          <w:rFonts w:ascii="Calibri" w:hAnsi="Calibri"/>
          <w:color w:val="1A1A1A"/>
          <w:sz w:val="24"/>
        </w:rPr>
        <w:t>☐  Política de retenção definida e vigente.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Identificar cada arquivo com paciente, data, região e finalidade.</w:t>
      </w:r>
    </w:p>
    <w:p>
      <w:pPr>
        <w:pStyle w:val="ListNumber"/>
        <w:spacing w:after="60"/>
        <w:ind w:left="397"/>
        <w:jc w:val="both"/>
      </w:pPr>
      <w:r>
        <w:rPr>
          <w:rFonts w:ascii="Calibri" w:hAnsi="Calibri"/>
          <w:color w:val="1A1A1A"/>
          <w:sz w:val="24"/>
        </w:rPr>
        <w:t>Armazenar em repositório institucional, nunca em dispositivo pessoal ou aplicativo de mensagem.</w:t>
      </w:r>
    </w:p>
    <w:p>
      <w:pPr>
        <w:pStyle w:val="ListNumber"/>
        <w:spacing w:after="60"/>
        <w:ind w:left="397"/>
        <w:jc w:val="both"/>
      </w:pPr>
      <w:r>
        <w:rPr>
          <w:rFonts w:ascii="Calibri" w:hAnsi="Calibri"/>
          <w:color w:val="1A1A1A"/>
          <w:sz w:val="24"/>
        </w:rPr>
        <w:t>Registrar a origem do exame quando produzido por terceiro, preservando a identificação do emissor.</w:t>
      </w:r>
    </w:p>
    <w:p>
      <w:pPr>
        <w:pStyle w:val="ListNumber"/>
        <w:spacing w:after="60"/>
        <w:ind w:left="397"/>
        <w:jc w:val="both"/>
      </w:pPr>
      <w:r>
        <w:rPr>
          <w:rFonts w:ascii="Calibri" w:hAnsi="Calibri"/>
          <w:color w:val="1A1A1A"/>
          <w:sz w:val="24"/>
        </w:rPr>
        <w:t>Vincular o exame ao prontuário e à decisão clínica que o motivou.</w:t>
      </w:r>
    </w:p>
    <w:p>
      <w:pPr>
        <w:pStyle w:val="ListNumber"/>
        <w:spacing w:after="60"/>
        <w:ind w:left="397"/>
        <w:jc w:val="both"/>
      </w:pPr>
      <w:r>
        <w:rPr>
          <w:rFonts w:ascii="Calibri" w:hAnsi="Calibri"/>
          <w:color w:val="1A1A1A"/>
          <w:sz w:val="24"/>
        </w:rPr>
        <w:t>Controlar e registrar os acessos.</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Arquivo sem identificação de paciente ou de data.</w:t>
      </w:r>
    </w:p>
    <w:p>
      <w:pPr>
        <w:pStyle w:val="ListBullet"/>
        <w:spacing w:after="60"/>
        <w:ind w:left="397"/>
        <w:jc w:val="both"/>
      </w:pPr>
      <w:r>
        <w:rPr>
          <w:rFonts w:ascii="Calibri" w:hAnsi="Calibri"/>
          <w:color w:val="1A1A1A"/>
          <w:sz w:val="24"/>
        </w:rPr>
        <w:t>Armazenamento fora do repositório institucional.</w:t>
      </w:r>
    </w:p>
    <w:p>
      <w:pPr>
        <w:pStyle w:val="ListBullet"/>
        <w:spacing w:after="60"/>
        <w:ind w:left="397"/>
        <w:jc w:val="both"/>
      </w:pPr>
      <w:r>
        <w:rPr>
          <w:rFonts w:ascii="Calibri" w:hAnsi="Calibri"/>
          <w:color w:val="1A1A1A"/>
          <w:sz w:val="24"/>
        </w:rPr>
        <w:t>Acesso por pessoa não autorizada.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acesso indevido ou de vazamento exige registro imediato, avaliação de comunicação ao titular e às autoridades competentes, e revisão dos controles.</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Identificação, data, região, finalidade e origem do exame.</w:t>
      </w:r>
    </w:p>
    <w:p>
      <w:pPr>
        <w:pStyle w:val="ListBullet"/>
        <w:spacing w:after="60"/>
        <w:ind w:left="397"/>
        <w:jc w:val="both"/>
      </w:pPr>
      <w:r>
        <w:rPr>
          <w:rFonts w:ascii="Calibri" w:hAnsi="Calibri"/>
          <w:color w:val="1A1A1A"/>
          <w:sz w:val="24"/>
        </w:rPr>
        <w:t>Consentimento vinculado.</w:t>
      </w:r>
    </w:p>
    <w:p>
      <w:pPr>
        <w:pStyle w:val="ListBullet"/>
        <w:spacing w:after="60"/>
        <w:ind w:left="397"/>
        <w:jc w:val="both"/>
      </w:pPr>
      <w:r>
        <w:rPr>
          <w:rFonts w:ascii="Calibri" w:hAnsi="Calibri"/>
          <w:color w:val="1A1A1A"/>
          <w:sz w:val="24"/>
        </w:rPr>
        <w:t>Registro de acessos e de eliminação.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 política de retenção e o controle de acesso. Reavaliar o escopo deste POP quando houver manifestação institucional sobre competência.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Lei nº 13.709/2018. Lei nº 15.378/2026. RDC Anvisa nº 1.002/2025. Documentos 08 e 11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POP-N5-15 · Documentação e guarda de exames de imagem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