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 RASTREABILIDADE</w:t>
      </w:r>
    </w:p>
    <w:p>
      <w:pPr>
        <w:spacing w:after="160"/>
        <w:jc w:val="center"/>
      </w:pPr>
      <w:r>
        <w:rPr>
          <w:rFonts w:ascii="Calibri" w:hAnsi="Calibri"/>
          <w:b/>
          <w:color w:val="143C64"/>
          <w:sz w:val="48"/>
        </w:rPr>
        <w:t>Matriz de Evidências e Referências</w:t>
      </w:r>
    </w:p>
    <w:p>
      <w:pPr>
        <w:spacing w:after="720"/>
        <w:jc w:val="center"/>
      </w:pPr>
      <w:r>
        <w:rPr>
          <w:rFonts w:ascii="Calibri" w:hAnsi="Calibri"/>
          <w:b w:val="0"/>
          <w:i w:val="0"/>
          <w:color w:val="444A52"/>
          <w:sz w:val="26"/>
        </w:rPr>
        <w:t>Rastreabilidade de cada afirmação relevante do pacote até a fonte que a sustenta, com registro de verificação individual e declaração explícita de lacunas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N5-EVID-01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w:t>
      </w:r>
    </w:p>
    <w:p>
      <w:pPr>
        <w:spacing w:after="120"/>
        <w:jc w:val="both"/>
      </w:pPr>
      <w:r>
        <w:rPr>
          <w:rFonts w:ascii="Calibri" w:hAnsi="Calibri"/>
          <w:b w:val="0"/>
          <w:i w:val="0"/>
          <w:color w:val="1A1A1A"/>
          <w:sz w:val="24"/>
        </w:rPr>
        <w:t>Esta matriz garante que cada afirmação relevante dos produtos do Núcleo 5 possa ser rastreada até uma fonte normativa, científica ou institucional. Registra também as lacunas, evitando que opinião ou prática local seja apresentada como padrão assistencial. É o documento que permite auditar o pacote inteiro sem lê-lo por completo.</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Registro do processo de verificação</w:t>
      </w:r>
    </w:p>
    <w:p>
      <w:pPr>
        <w:spacing w:after="120"/>
        <w:jc w:val="both"/>
      </w:pPr>
      <w:r>
        <w:rPr>
          <w:rFonts w:ascii="Calibri" w:hAnsi="Calibri"/>
          <w:b w:val="0"/>
          <w:i w:val="0"/>
          <w:color w:val="1A1A1A"/>
          <w:sz w:val="24"/>
        </w:rPr>
        <w:t>As referências científicas deste pacote foram verificadas individualmente na base PubMed em 25 de agosto de 2026. A verificação conferiu identificador persistente, autoria, periódico, localização bibliográfica e desenho do estudo. O procedimento está registrado porque a existência da verificação é, ela própria, um dado auditável.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932"/>
        <w:gridCol w:w="4140"/>
      </w:tblGrid>
      <w:tr>
        <w:trPr>
          <w:cantSplit/>
          <w:tblHeader/>
        </w:trPr>
        <w:tc>
          <w:tcPr>
            <w:tcW w:type="dxa" w:w="4932"/>
            <w:shd w:val="clear" w:color="auto" w:fill="143C64"/>
          </w:tcPr>
          <w:p>
            <w:pPr>
              <w:spacing w:after="0"/>
              <w:jc w:val="left"/>
            </w:pPr>
            <w:r/>
            <w:r>
              <w:rPr>
                <w:rFonts w:ascii="Calibri" w:hAnsi="Calibri"/>
                <w:b/>
                <w:color w:val="FFFFFF"/>
                <w:sz w:val="24"/>
              </w:rPr>
              <w:t>Etapa da verificação</w:t>
            </w:r>
          </w:p>
        </w:tc>
        <w:tc>
          <w:tcPr>
            <w:tcW w:type="dxa" w:w="4140"/>
            <w:shd w:val="clear" w:color="auto" w:fill="143C64"/>
          </w:tcPr>
          <w:p>
            <w:pPr>
              <w:spacing w:after="0"/>
              <w:jc w:val="left"/>
            </w:pPr>
            <w:r/>
            <w:r>
              <w:rPr>
                <w:rFonts w:ascii="Calibri" w:hAnsi="Calibri"/>
                <w:b/>
                <w:color w:val="FFFFFF"/>
                <w:sz w:val="24"/>
              </w:rPr>
              <w:t>Resultado</w:t>
            </w:r>
          </w:p>
        </w:tc>
      </w:tr>
      <w:tr>
        <w:trPr>
          <w:cantSplit/>
        </w:trPr>
        <w:tc>
          <w:tcPr>
            <w:tcW w:type="dxa" w:w="4932"/>
          </w:tcPr>
          <w:p>
            <w:pPr>
              <w:spacing w:after="0"/>
              <w:jc w:val="left"/>
            </w:pPr>
            <w:r/>
            <w:r>
              <w:rPr>
                <w:rFonts w:ascii="Calibri" w:hAnsi="Calibri"/>
                <w:b w:val="0"/>
                <w:color w:val="1A1A1A"/>
                <w:sz w:val="24"/>
              </w:rPr>
              <w:t>Referências científicas submetidas a conferência</w:t>
            </w:r>
          </w:p>
        </w:tc>
        <w:tc>
          <w:tcPr>
            <w:tcW w:type="dxa" w:w="4140"/>
          </w:tcPr>
          <w:p>
            <w:pPr>
              <w:spacing w:after="0"/>
              <w:jc w:val="left"/>
            </w:pPr>
            <w:r/>
            <w:r>
              <w:rPr>
                <w:rFonts w:ascii="Calibri" w:hAnsi="Calibri"/>
                <w:b w:val="0"/>
                <w:color w:val="1A1A1A"/>
                <w:sz w:val="24"/>
              </w:rPr>
              <w:t>5</w:t>
            </w:r>
          </w:p>
        </w:tc>
      </w:tr>
      <w:tr>
        <w:trPr>
          <w:cantSplit/>
        </w:trPr>
        <w:tc>
          <w:tcPr>
            <w:tcW w:type="dxa" w:w="4932"/>
            <w:shd w:val="clear" w:color="auto" w:fill="F2F5F8"/>
          </w:tcPr>
          <w:p>
            <w:pPr>
              <w:spacing w:after="0"/>
              <w:jc w:val="left"/>
            </w:pPr>
            <w:r/>
            <w:r>
              <w:rPr>
                <w:rFonts w:ascii="Calibri" w:hAnsi="Calibri"/>
                <w:b w:val="0"/>
                <w:color w:val="1A1A1A"/>
                <w:sz w:val="24"/>
              </w:rPr>
              <w:t>Referências com identificador confirmado</w:t>
            </w:r>
          </w:p>
        </w:tc>
        <w:tc>
          <w:tcPr>
            <w:tcW w:type="dxa" w:w="4140"/>
            <w:shd w:val="clear" w:color="auto" w:fill="F2F5F8"/>
          </w:tcPr>
          <w:p>
            <w:pPr>
              <w:spacing w:after="0"/>
              <w:jc w:val="left"/>
            </w:pPr>
            <w:r/>
            <w:r>
              <w:rPr>
                <w:rFonts w:ascii="Calibri" w:hAnsi="Calibri"/>
                <w:b w:val="0"/>
                <w:color w:val="1A1A1A"/>
                <w:sz w:val="24"/>
              </w:rPr>
              <w:t>5</w:t>
            </w:r>
          </w:p>
        </w:tc>
      </w:tr>
      <w:tr>
        <w:trPr>
          <w:cantSplit/>
        </w:trPr>
        <w:tc>
          <w:tcPr>
            <w:tcW w:type="dxa" w:w="4932"/>
          </w:tcPr>
          <w:p>
            <w:pPr>
              <w:spacing w:after="0"/>
              <w:jc w:val="left"/>
            </w:pPr>
            <w:r/>
            <w:r>
              <w:rPr>
                <w:rFonts w:ascii="Calibri" w:hAnsi="Calibri"/>
                <w:b w:val="0"/>
                <w:color w:val="1A1A1A"/>
                <w:sz w:val="24"/>
              </w:rPr>
              <w:t>Referências descartadas por não confirmação</w:t>
            </w:r>
          </w:p>
        </w:tc>
        <w:tc>
          <w:tcPr>
            <w:tcW w:type="dxa" w:w="4140"/>
          </w:tcPr>
          <w:p>
            <w:pPr>
              <w:spacing w:after="0"/>
              <w:jc w:val="left"/>
            </w:pPr>
            <w:r/>
            <w:r>
              <w:rPr>
                <w:rFonts w:ascii="Calibri" w:hAnsi="Calibri"/>
                <w:b w:val="0"/>
                <w:color w:val="1A1A1A"/>
                <w:sz w:val="24"/>
              </w:rPr>
              <w:t>0</w:t>
            </w:r>
          </w:p>
        </w:tc>
      </w:tr>
      <w:tr>
        <w:trPr>
          <w:cantSplit/>
        </w:trPr>
        <w:tc>
          <w:tcPr>
            <w:tcW w:type="dxa" w:w="4932"/>
            <w:shd w:val="clear" w:color="auto" w:fill="F2F5F8"/>
          </w:tcPr>
          <w:p>
            <w:pPr>
              <w:spacing w:after="0"/>
              <w:jc w:val="left"/>
            </w:pPr>
            <w:r/>
            <w:r>
              <w:rPr>
                <w:rFonts w:ascii="Calibri" w:hAnsi="Calibri"/>
                <w:b w:val="0"/>
                <w:color w:val="1A1A1A"/>
                <w:sz w:val="24"/>
              </w:rPr>
              <w:t>Referências acrescentadas durante a verificação</w:t>
            </w:r>
          </w:p>
        </w:tc>
        <w:tc>
          <w:tcPr>
            <w:tcW w:type="dxa" w:w="4140"/>
            <w:shd w:val="clear" w:color="auto" w:fill="F2F5F8"/>
          </w:tcPr>
          <w:p>
            <w:pPr>
              <w:spacing w:after="0"/>
              <w:jc w:val="left"/>
            </w:pPr>
            <w:r/>
            <w:r>
              <w:rPr>
                <w:rFonts w:ascii="Calibri" w:hAnsi="Calibri"/>
                <w:b w:val="0"/>
                <w:color w:val="1A1A1A"/>
                <w:sz w:val="24"/>
              </w:rPr>
              <w:t>2</w:t>
            </w:r>
          </w:p>
        </w:tc>
      </w:tr>
      <w:tr>
        <w:trPr>
          <w:cantSplit/>
        </w:trPr>
        <w:tc>
          <w:tcPr>
            <w:tcW w:type="dxa" w:w="4932"/>
          </w:tcPr>
          <w:p>
            <w:pPr>
              <w:spacing w:after="0"/>
              <w:jc w:val="left"/>
            </w:pPr>
            <w:r/>
            <w:r>
              <w:rPr>
                <w:rFonts w:ascii="Calibri" w:hAnsi="Calibri"/>
                <w:b w:val="0"/>
                <w:color w:val="1A1A1A"/>
                <w:sz w:val="24"/>
              </w:rPr>
              <w:t>Base utilizada</w:t>
            </w:r>
          </w:p>
        </w:tc>
        <w:tc>
          <w:tcPr>
            <w:tcW w:type="dxa" w:w="4140"/>
          </w:tcPr>
          <w:p>
            <w:pPr>
              <w:spacing w:after="0"/>
              <w:jc w:val="left"/>
            </w:pPr>
            <w:r/>
            <w:r>
              <w:rPr>
                <w:rFonts w:ascii="Calibri" w:hAnsi="Calibri"/>
                <w:b w:val="0"/>
                <w:color w:val="1A1A1A"/>
                <w:sz w:val="24"/>
              </w:rPr>
              <w:t>PubMed, Biblioteca Nacional de Medicina dos Estados Unidos</w:t>
            </w:r>
          </w:p>
        </w:tc>
      </w:tr>
      <w:tr>
        <w:trPr>
          <w:cantSplit/>
        </w:trPr>
        <w:tc>
          <w:tcPr>
            <w:tcW w:type="dxa" w:w="4932"/>
            <w:shd w:val="clear" w:color="auto" w:fill="F2F5F8"/>
          </w:tcPr>
          <w:p>
            <w:pPr>
              <w:spacing w:after="0"/>
              <w:jc w:val="left"/>
            </w:pPr>
            <w:r/>
            <w:r>
              <w:rPr>
                <w:rFonts w:ascii="Calibri" w:hAnsi="Calibri"/>
                <w:b w:val="0"/>
                <w:color w:val="1A1A1A"/>
                <w:sz w:val="24"/>
              </w:rPr>
              <w:t>Data da verificação</w:t>
            </w:r>
          </w:p>
        </w:tc>
        <w:tc>
          <w:tcPr>
            <w:tcW w:type="dxa" w:w="4140"/>
            <w:shd w:val="clear" w:color="auto" w:fill="F2F5F8"/>
          </w:tcPr>
          <w:p>
            <w:pPr>
              <w:spacing w:after="0"/>
              <w:jc w:val="left"/>
            </w:pPr>
            <w:r/>
            <w:r>
              <w:rPr>
                <w:rFonts w:ascii="Calibri" w:hAnsi="Calibri"/>
                <w:b w:val="0"/>
                <w:color w:val="1A1A1A"/>
                <w:sz w:val="24"/>
              </w:rPr>
              <w:t>25 de agosto de 2026</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Por que duas referências foram acrescentadas</w:t>
            </w:r>
          </w:p>
          <w:p>
            <w:pPr>
              <w:spacing w:after="0"/>
              <w:jc w:val="both"/>
            </w:pPr>
            <w:r>
              <w:rPr>
                <w:rFonts w:ascii="Calibri" w:hAnsi="Calibri"/>
                <w:color w:val="1A1A1A"/>
                <w:sz w:val="24"/>
              </w:rPr>
              <w:t>A conferência dos identificadores localizou, no mesmo grupo de autores, dois estudos diretamente pertinentes que não constavam do material original: uma revisão sobre oclusão vascular com envolvimento neuro-oftálmico e uma revisão sobre composição de kit de emergência. Ambos sustentam seções operacionais do pacote que antes repousavam apenas em recomendação técnica. A verificação, portanto, não apenas confirmou o que existia: melhorou a base do conjunto.</w:t>
            </w:r>
          </w:p>
        </w:tc>
      </w:tr>
    </w:tbl>
    <w:p>
      <w:pPr>
        <w:spacing w:after="80"/>
      </w:pPr>
    </w:p>
    <w:p>
      <w:pPr>
        <w:keepNext/>
        <w:spacing w:before="360" w:after="160"/>
        <w:jc w:val="left"/>
        <w:pBdr>
          <w:bottom w:val="single" w:sz="8" w:space="4" w:color="143C64"/>
        </w:pBdr>
      </w:pPr>
      <w:r>
        <w:rPr>
          <w:rFonts w:ascii="Calibri" w:hAnsi="Calibri"/>
          <w:b/>
          <w:color w:val="143C64"/>
          <w:sz w:val="30"/>
        </w:rPr>
        <w:t>3  Matriz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05"/>
        <w:gridCol w:w="1685"/>
        <w:gridCol w:w="2777"/>
        <w:gridCol w:w="2304"/>
      </w:tblGrid>
      <w:tr>
        <w:trPr>
          <w:cantSplit/>
          <w:tblHeader/>
        </w:trPr>
        <w:tc>
          <w:tcPr>
            <w:tcW w:type="dxa" w:w="2305"/>
            <w:shd w:val="clear" w:color="auto" w:fill="143C64"/>
          </w:tcPr>
          <w:p>
            <w:pPr>
              <w:spacing w:after="0"/>
              <w:jc w:val="left"/>
            </w:pPr>
            <w:r/>
            <w:r>
              <w:rPr>
                <w:rFonts w:ascii="Calibri" w:hAnsi="Calibri"/>
                <w:b/>
                <w:color w:val="FFFFFF"/>
                <w:sz w:val="24"/>
              </w:rPr>
              <w:t>Tema</w:t>
            </w:r>
          </w:p>
        </w:tc>
        <w:tc>
          <w:tcPr>
            <w:tcW w:type="dxa" w:w="1685"/>
            <w:shd w:val="clear" w:color="auto" w:fill="143C64"/>
          </w:tcPr>
          <w:p>
            <w:pPr>
              <w:spacing w:after="0"/>
              <w:jc w:val="left"/>
            </w:pPr>
            <w:r/>
            <w:r>
              <w:rPr>
                <w:rFonts w:ascii="Calibri" w:hAnsi="Calibri"/>
                <w:b/>
                <w:color w:val="FFFFFF"/>
                <w:sz w:val="24"/>
              </w:rPr>
              <w:t>Fonte</w:t>
            </w:r>
          </w:p>
        </w:tc>
        <w:tc>
          <w:tcPr>
            <w:tcW w:type="dxa" w:w="2777"/>
            <w:shd w:val="clear" w:color="auto" w:fill="143C64"/>
          </w:tcPr>
          <w:p>
            <w:pPr>
              <w:spacing w:after="0"/>
              <w:jc w:val="left"/>
            </w:pPr>
            <w:r/>
            <w:r>
              <w:rPr>
                <w:rFonts w:ascii="Calibri" w:hAnsi="Calibri"/>
                <w:b/>
                <w:color w:val="FFFFFF"/>
                <w:sz w:val="24"/>
              </w:rPr>
              <w:t>Uso no pacote</w:t>
            </w:r>
          </w:p>
        </w:tc>
        <w:tc>
          <w:tcPr>
            <w:tcW w:type="dxa" w:w="2304"/>
            <w:shd w:val="clear" w:color="auto" w:fill="143C64"/>
          </w:tcPr>
          <w:p>
            <w:pPr>
              <w:spacing w:after="0"/>
              <w:jc w:val="left"/>
            </w:pPr>
            <w:r/>
            <w:r>
              <w:rPr>
                <w:rFonts w:ascii="Calibri" w:hAnsi="Calibri"/>
                <w:b/>
                <w:color w:val="FFFFFF"/>
                <w:sz w:val="24"/>
              </w:rPr>
              <w:t>Classe</w:t>
            </w:r>
          </w:p>
        </w:tc>
      </w:tr>
      <w:tr>
        <w:trPr>
          <w:cantSplit/>
        </w:trPr>
        <w:tc>
          <w:tcPr>
            <w:tcW w:type="dxa" w:w="2305"/>
          </w:tcPr>
          <w:p>
            <w:pPr>
              <w:spacing w:after="0"/>
              <w:jc w:val="left"/>
            </w:pPr>
            <w:r/>
            <w:r>
              <w:rPr>
                <w:rFonts w:ascii="Calibri" w:hAnsi="Calibri"/>
                <w:b w:val="0"/>
                <w:color w:val="1A1A1A"/>
                <w:sz w:val="24"/>
              </w:rPr>
              <w:t>Exercício profissional</w:t>
            </w:r>
          </w:p>
        </w:tc>
        <w:tc>
          <w:tcPr>
            <w:tcW w:type="dxa" w:w="1685"/>
          </w:tcPr>
          <w:p>
            <w:pPr>
              <w:spacing w:after="0"/>
              <w:jc w:val="left"/>
            </w:pPr>
            <w:r/>
            <w:r>
              <w:rPr>
                <w:rFonts w:ascii="Calibri" w:hAnsi="Calibri"/>
                <w:b w:val="0"/>
                <w:color w:val="1A1A1A"/>
                <w:sz w:val="24"/>
              </w:rPr>
              <w:t>Lei nº 5.081/1966</w:t>
            </w:r>
          </w:p>
        </w:tc>
        <w:tc>
          <w:tcPr>
            <w:tcW w:type="dxa" w:w="2777"/>
          </w:tcPr>
          <w:p>
            <w:pPr>
              <w:spacing w:after="0"/>
              <w:jc w:val="left"/>
            </w:pPr>
            <w:r/>
            <w:r>
              <w:rPr>
                <w:rFonts w:ascii="Calibri" w:hAnsi="Calibri"/>
                <w:b w:val="0"/>
                <w:color w:val="1A1A1A"/>
                <w:sz w:val="24"/>
              </w:rPr>
              <w:t>Base legal do exercício da Odontologia.</w:t>
            </w:r>
          </w:p>
        </w:tc>
        <w:tc>
          <w:tcPr>
            <w:tcW w:type="dxa" w:w="2304"/>
          </w:tcPr>
          <w:p>
            <w:pPr>
              <w:spacing w:after="0"/>
              <w:jc w:val="left"/>
            </w:pPr>
            <w:r/>
            <w:r>
              <w:rPr>
                <w:rFonts w:ascii="Calibri" w:hAnsi="Calibri"/>
                <w:b w:val="0"/>
                <w:color w:val="1A1A1A"/>
                <w:sz w:val="24"/>
              </w:rPr>
              <w:t>Norma vigente</w:t>
            </w:r>
          </w:p>
        </w:tc>
      </w:tr>
      <w:tr>
        <w:trPr>
          <w:cantSplit/>
        </w:trPr>
        <w:tc>
          <w:tcPr>
            <w:tcW w:type="dxa" w:w="2305"/>
            <w:shd w:val="clear" w:color="auto" w:fill="F2F5F8"/>
          </w:tcPr>
          <w:p>
            <w:pPr>
              <w:spacing w:after="0"/>
              <w:jc w:val="left"/>
            </w:pPr>
            <w:r/>
            <w:r>
              <w:rPr>
                <w:rFonts w:ascii="Calibri" w:hAnsi="Calibri"/>
                <w:b w:val="0"/>
                <w:color w:val="1A1A1A"/>
                <w:sz w:val="24"/>
              </w:rPr>
              <w:t>Ética</w:t>
            </w:r>
          </w:p>
        </w:tc>
        <w:tc>
          <w:tcPr>
            <w:tcW w:type="dxa" w:w="1685"/>
            <w:shd w:val="clear" w:color="auto" w:fill="F2F5F8"/>
          </w:tcPr>
          <w:p>
            <w:pPr>
              <w:spacing w:after="0"/>
              <w:jc w:val="left"/>
            </w:pPr>
            <w:r/>
            <w:r>
              <w:rPr>
                <w:rFonts w:ascii="Calibri" w:hAnsi="Calibri"/>
                <w:b w:val="0"/>
                <w:color w:val="1A1A1A"/>
                <w:sz w:val="24"/>
              </w:rPr>
              <w:t>Resolução CFO nº 118/2012</w:t>
            </w:r>
          </w:p>
        </w:tc>
        <w:tc>
          <w:tcPr>
            <w:tcW w:type="dxa" w:w="2777"/>
            <w:shd w:val="clear" w:color="auto" w:fill="F2F5F8"/>
          </w:tcPr>
          <w:p>
            <w:pPr>
              <w:spacing w:after="0"/>
              <w:jc w:val="left"/>
            </w:pPr>
            <w:r/>
            <w:r>
              <w:rPr>
                <w:rFonts w:ascii="Calibri" w:hAnsi="Calibri"/>
                <w:b w:val="0"/>
                <w:color w:val="1A1A1A"/>
                <w:sz w:val="24"/>
              </w:rPr>
              <w:t>Código de Ética Odontológica: conduta, publicidade e consentimento.</w:t>
            </w:r>
          </w:p>
        </w:tc>
        <w:tc>
          <w:tcPr>
            <w:tcW w:type="dxa" w:w="2304"/>
            <w:shd w:val="clear" w:color="auto" w:fill="F2F5F8"/>
          </w:tcPr>
          <w:p>
            <w:pPr>
              <w:spacing w:after="0"/>
              <w:jc w:val="left"/>
            </w:pPr>
            <w:r/>
            <w:r>
              <w:rPr>
                <w:rFonts w:ascii="Calibri" w:hAnsi="Calibri"/>
                <w:b w:val="0"/>
                <w:color w:val="1A1A1A"/>
                <w:sz w:val="24"/>
              </w:rPr>
              <w:t>Norma vigente</w:t>
            </w:r>
          </w:p>
        </w:tc>
      </w:tr>
      <w:tr>
        <w:trPr>
          <w:cantSplit/>
        </w:trPr>
        <w:tc>
          <w:tcPr>
            <w:tcW w:type="dxa" w:w="2305"/>
          </w:tcPr>
          <w:p>
            <w:pPr>
              <w:spacing w:after="0"/>
              <w:jc w:val="left"/>
            </w:pPr>
            <w:r/>
            <w:r>
              <w:rPr>
                <w:rFonts w:ascii="Calibri" w:hAnsi="Calibri"/>
                <w:b w:val="0"/>
                <w:color w:val="1A1A1A"/>
                <w:sz w:val="24"/>
              </w:rPr>
              <w:t>Especialidade</w:t>
            </w:r>
          </w:p>
        </w:tc>
        <w:tc>
          <w:tcPr>
            <w:tcW w:type="dxa" w:w="1685"/>
          </w:tcPr>
          <w:p>
            <w:pPr>
              <w:spacing w:after="0"/>
              <w:jc w:val="left"/>
            </w:pPr>
            <w:r/>
            <w:r>
              <w:rPr>
                <w:rFonts w:ascii="Calibri" w:hAnsi="Calibri"/>
                <w:b w:val="0"/>
                <w:color w:val="1A1A1A"/>
                <w:sz w:val="24"/>
              </w:rPr>
              <w:t>Resolução CFO nº 198/2019 e Resolução CFO nº 230/2020</w:t>
            </w:r>
          </w:p>
        </w:tc>
        <w:tc>
          <w:tcPr>
            <w:tcW w:type="dxa" w:w="2777"/>
          </w:tcPr>
          <w:p>
            <w:pPr>
              <w:spacing w:after="0"/>
              <w:jc w:val="left"/>
            </w:pPr>
            <w:r/>
            <w:r>
              <w:rPr>
                <w:rFonts w:ascii="Calibri" w:hAnsi="Calibri"/>
                <w:b w:val="0"/>
                <w:color w:val="1A1A1A"/>
                <w:sz w:val="24"/>
              </w:rPr>
              <w:t>Camada de competência. Objeto de decisão judicial registrada na seção 6.</w:t>
            </w:r>
          </w:p>
        </w:tc>
        <w:tc>
          <w:tcPr>
            <w:tcW w:type="dxa" w:w="2304"/>
          </w:tcPr>
          <w:p>
            <w:pPr>
              <w:spacing w:after="0"/>
              <w:jc w:val="left"/>
            </w:pPr>
            <w:r/>
            <w:r>
              <w:rPr>
                <w:rFonts w:ascii="Calibri" w:hAnsi="Calibri"/>
                <w:b w:val="0"/>
                <w:color w:val="1A1A1A"/>
                <w:sz w:val="24"/>
              </w:rPr>
              <w:t>Situação contenciosa</w:t>
            </w:r>
          </w:p>
        </w:tc>
      </w:tr>
      <w:tr>
        <w:trPr>
          <w:cantSplit/>
        </w:trPr>
        <w:tc>
          <w:tcPr>
            <w:tcW w:type="dxa" w:w="2305"/>
            <w:shd w:val="clear" w:color="auto" w:fill="F2F5F8"/>
          </w:tcPr>
          <w:p>
            <w:pPr>
              <w:spacing w:after="0"/>
              <w:jc w:val="left"/>
            </w:pPr>
            <w:r/>
            <w:r>
              <w:rPr>
                <w:rFonts w:ascii="Calibri" w:hAnsi="Calibri"/>
                <w:b w:val="0"/>
                <w:color w:val="1A1A1A"/>
                <w:sz w:val="24"/>
              </w:rPr>
              <w:t>Composição institucional</w:t>
            </w:r>
          </w:p>
        </w:tc>
        <w:tc>
          <w:tcPr>
            <w:tcW w:type="dxa" w:w="1685"/>
            <w:shd w:val="clear" w:color="auto" w:fill="F2F5F8"/>
          </w:tcPr>
          <w:p>
            <w:pPr>
              <w:spacing w:after="0"/>
              <w:jc w:val="left"/>
            </w:pPr>
            <w:r/>
            <w:r>
              <w:rPr>
                <w:rFonts w:ascii="Calibri" w:hAnsi="Calibri"/>
                <w:b w:val="0"/>
                <w:color w:val="1A1A1A"/>
                <w:sz w:val="24"/>
              </w:rPr>
              <w:t>Portaria CRO-MG nº 190/2026</w:t>
            </w:r>
          </w:p>
        </w:tc>
        <w:tc>
          <w:tcPr>
            <w:tcW w:type="dxa" w:w="2777"/>
            <w:shd w:val="clear" w:color="auto" w:fill="F2F5F8"/>
          </w:tcPr>
          <w:p>
            <w:pPr>
              <w:spacing w:after="0"/>
              <w:jc w:val="left"/>
            </w:pPr>
            <w:r/>
            <w:r>
              <w:rPr>
                <w:rFonts w:ascii="Calibri" w:hAnsi="Calibri"/>
                <w:b w:val="0"/>
                <w:color w:val="1A1A1A"/>
                <w:sz w:val="24"/>
              </w:rPr>
              <w:t>Competência e composição do Núcleo 5.</w:t>
            </w:r>
          </w:p>
        </w:tc>
        <w:tc>
          <w:tcPr>
            <w:tcW w:type="dxa" w:w="2304"/>
            <w:shd w:val="clear" w:color="auto" w:fill="F2F5F8"/>
          </w:tcPr>
          <w:p>
            <w:pPr>
              <w:spacing w:after="0"/>
              <w:jc w:val="left"/>
            </w:pPr>
            <w:r/>
            <w:r>
              <w:rPr>
                <w:rFonts w:ascii="Calibri" w:hAnsi="Calibri"/>
                <w:b w:val="0"/>
                <w:color w:val="1A1A1A"/>
                <w:sz w:val="24"/>
              </w:rPr>
              <w:t>Ato institucional</w:t>
            </w:r>
          </w:p>
        </w:tc>
      </w:tr>
      <w:tr>
        <w:trPr>
          <w:cantSplit/>
        </w:trPr>
        <w:tc>
          <w:tcPr>
            <w:tcW w:type="dxa" w:w="2305"/>
          </w:tcPr>
          <w:p>
            <w:pPr>
              <w:spacing w:after="0"/>
              <w:jc w:val="left"/>
            </w:pPr>
            <w:r/>
            <w:r>
              <w:rPr>
                <w:rFonts w:ascii="Calibri" w:hAnsi="Calibri"/>
                <w:b w:val="0"/>
                <w:color w:val="1A1A1A"/>
                <w:sz w:val="24"/>
              </w:rPr>
              <w:t>Funcionamento do serviço</w:t>
            </w:r>
          </w:p>
        </w:tc>
        <w:tc>
          <w:tcPr>
            <w:tcW w:type="dxa" w:w="1685"/>
          </w:tcPr>
          <w:p>
            <w:pPr>
              <w:spacing w:after="0"/>
              <w:jc w:val="left"/>
            </w:pPr>
            <w:r/>
            <w:r>
              <w:rPr>
                <w:rFonts w:ascii="Calibri" w:hAnsi="Calibri"/>
                <w:b w:val="0"/>
                <w:color w:val="1A1A1A"/>
                <w:sz w:val="24"/>
              </w:rPr>
              <w:t>RDC Anvisa nº 1.002/2025</w:t>
            </w:r>
          </w:p>
        </w:tc>
        <w:tc>
          <w:tcPr>
            <w:tcW w:type="dxa" w:w="2777"/>
          </w:tcPr>
          <w:p>
            <w:pPr>
              <w:spacing w:after="0"/>
              <w:jc w:val="left"/>
            </w:pPr>
            <w:r/>
            <w:r>
              <w:rPr>
                <w:rFonts w:ascii="Calibri" w:hAnsi="Calibri"/>
                <w:b w:val="0"/>
                <w:color w:val="1A1A1A"/>
                <w:sz w:val="24"/>
              </w:rPr>
              <w:t>Boas Práticas de Funcionamento em assistência odontológica. Fundamento direto da exigência de POP e da série documental.</w:t>
            </w:r>
          </w:p>
        </w:tc>
        <w:tc>
          <w:tcPr>
            <w:tcW w:type="dxa" w:w="2304"/>
          </w:tcPr>
          <w:p>
            <w:pPr>
              <w:spacing w:after="0"/>
              <w:jc w:val="left"/>
            </w:pPr>
            <w:r/>
            <w:r>
              <w:rPr>
                <w:rFonts w:ascii="Calibri" w:hAnsi="Calibri"/>
                <w:b w:val="0"/>
                <w:color w:val="1A1A1A"/>
                <w:sz w:val="24"/>
              </w:rPr>
              <w:t>Norma vigente</w:t>
            </w:r>
          </w:p>
        </w:tc>
      </w:tr>
      <w:tr>
        <w:trPr>
          <w:cantSplit/>
        </w:trPr>
        <w:tc>
          <w:tcPr>
            <w:tcW w:type="dxa" w:w="2305"/>
            <w:shd w:val="clear" w:color="auto" w:fill="F2F5F8"/>
          </w:tcPr>
          <w:p>
            <w:pPr>
              <w:spacing w:after="0"/>
              <w:jc w:val="left"/>
            </w:pPr>
            <w:r/>
            <w:r>
              <w:rPr>
                <w:rFonts w:ascii="Calibri" w:hAnsi="Calibri"/>
                <w:b w:val="0"/>
                <w:color w:val="1A1A1A"/>
                <w:sz w:val="24"/>
              </w:rPr>
              <w:t>Funcionamento complementar</w:t>
            </w:r>
          </w:p>
        </w:tc>
        <w:tc>
          <w:tcPr>
            <w:tcW w:type="dxa" w:w="1685"/>
            <w:shd w:val="clear" w:color="auto" w:fill="F2F5F8"/>
          </w:tcPr>
          <w:p>
            <w:pPr>
              <w:spacing w:after="0"/>
              <w:jc w:val="left"/>
            </w:pPr>
            <w:r/>
            <w:r>
              <w:rPr>
                <w:rFonts w:ascii="Calibri" w:hAnsi="Calibri"/>
                <w:b w:val="0"/>
                <w:color w:val="1A1A1A"/>
                <w:sz w:val="24"/>
              </w:rPr>
              <w:t>RDC Anvisa nº 63/2011</w:t>
            </w:r>
          </w:p>
        </w:tc>
        <w:tc>
          <w:tcPr>
            <w:tcW w:type="dxa" w:w="2777"/>
            <w:shd w:val="clear" w:color="auto" w:fill="F2F5F8"/>
          </w:tcPr>
          <w:p>
            <w:pPr>
              <w:spacing w:after="0"/>
              <w:jc w:val="left"/>
            </w:pPr>
            <w:r/>
            <w:r>
              <w:rPr>
                <w:rFonts w:ascii="Calibri" w:hAnsi="Calibri"/>
                <w:b w:val="0"/>
                <w:color w:val="1A1A1A"/>
                <w:sz w:val="24"/>
              </w:rPr>
              <w:t>Aplicação complementar por remissão expressa.</w:t>
            </w:r>
          </w:p>
        </w:tc>
        <w:tc>
          <w:tcPr>
            <w:tcW w:type="dxa" w:w="2304"/>
            <w:shd w:val="clear" w:color="auto" w:fill="F2F5F8"/>
          </w:tcPr>
          <w:p>
            <w:pPr>
              <w:spacing w:after="0"/>
              <w:jc w:val="left"/>
            </w:pPr>
            <w:r/>
            <w:r>
              <w:rPr>
                <w:rFonts w:ascii="Calibri" w:hAnsi="Calibri"/>
                <w:b w:val="0"/>
                <w:color w:val="1A1A1A"/>
                <w:sz w:val="24"/>
              </w:rPr>
              <w:t>Norma vigente</w:t>
            </w:r>
          </w:p>
        </w:tc>
      </w:tr>
      <w:tr>
        <w:trPr>
          <w:cantSplit/>
        </w:trPr>
        <w:tc>
          <w:tcPr>
            <w:tcW w:type="dxa" w:w="2305"/>
          </w:tcPr>
          <w:p>
            <w:pPr>
              <w:spacing w:after="0"/>
              <w:jc w:val="left"/>
            </w:pPr>
            <w:r/>
            <w:r>
              <w:rPr>
                <w:rFonts w:ascii="Calibri" w:hAnsi="Calibri"/>
                <w:b w:val="0"/>
                <w:color w:val="1A1A1A"/>
                <w:sz w:val="24"/>
              </w:rPr>
              <w:t>Gerenciamento de tecnologias</w:t>
            </w:r>
          </w:p>
        </w:tc>
        <w:tc>
          <w:tcPr>
            <w:tcW w:type="dxa" w:w="1685"/>
          </w:tcPr>
          <w:p>
            <w:pPr>
              <w:spacing w:after="0"/>
              <w:jc w:val="left"/>
            </w:pPr>
            <w:r/>
            <w:r>
              <w:rPr>
                <w:rFonts w:ascii="Calibri" w:hAnsi="Calibri"/>
                <w:b w:val="0"/>
                <w:color w:val="1A1A1A"/>
                <w:sz w:val="24"/>
              </w:rPr>
              <w:t>RDC Anvisa nº 509/2021</w:t>
            </w:r>
          </w:p>
        </w:tc>
        <w:tc>
          <w:tcPr>
            <w:tcW w:type="dxa" w:w="2777"/>
          </w:tcPr>
          <w:p>
            <w:pPr>
              <w:spacing w:after="0"/>
              <w:jc w:val="left"/>
            </w:pPr>
            <w:r/>
            <w:r>
              <w:rPr>
                <w:rFonts w:ascii="Calibri" w:hAnsi="Calibri"/>
                <w:b w:val="0"/>
                <w:color w:val="1A1A1A"/>
                <w:sz w:val="24"/>
              </w:rPr>
              <w:t>Plano de gerenciamento, rastreabilidade, educação, risco e guarda.</w:t>
            </w:r>
          </w:p>
        </w:tc>
        <w:tc>
          <w:tcPr>
            <w:tcW w:type="dxa" w:w="2304"/>
          </w:tcPr>
          <w:p>
            <w:pPr>
              <w:spacing w:after="0"/>
              <w:jc w:val="left"/>
            </w:pPr>
            <w:r/>
            <w:r>
              <w:rPr>
                <w:rFonts w:ascii="Calibri" w:hAnsi="Calibri"/>
                <w:b w:val="0"/>
                <w:color w:val="1A1A1A"/>
                <w:sz w:val="24"/>
              </w:rPr>
              <w:t>Norma vigente</w:t>
            </w:r>
          </w:p>
        </w:tc>
      </w:tr>
      <w:tr>
        <w:trPr>
          <w:cantSplit/>
        </w:trPr>
        <w:tc>
          <w:tcPr>
            <w:tcW w:type="dxa" w:w="2305"/>
            <w:shd w:val="clear" w:color="auto" w:fill="F2F5F8"/>
          </w:tcPr>
          <w:p>
            <w:pPr>
              <w:spacing w:after="0"/>
              <w:jc w:val="left"/>
            </w:pPr>
            <w:r/>
            <w:r>
              <w:rPr>
                <w:rFonts w:ascii="Calibri" w:hAnsi="Calibri"/>
                <w:b w:val="0"/>
                <w:color w:val="1A1A1A"/>
                <w:sz w:val="24"/>
              </w:rPr>
              <w:t>Dispositivos médicos</w:t>
            </w:r>
          </w:p>
        </w:tc>
        <w:tc>
          <w:tcPr>
            <w:tcW w:type="dxa" w:w="1685"/>
            <w:shd w:val="clear" w:color="auto" w:fill="F2F5F8"/>
          </w:tcPr>
          <w:p>
            <w:pPr>
              <w:spacing w:after="0"/>
              <w:jc w:val="left"/>
            </w:pPr>
            <w:r/>
            <w:r>
              <w:rPr>
                <w:rFonts w:ascii="Calibri" w:hAnsi="Calibri"/>
                <w:b w:val="0"/>
                <w:color w:val="1A1A1A"/>
                <w:sz w:val="24"/>
              </w:rPr>
              <w:t>RDC Anvisa nº 751/2022</w:t>
            </w:r>
          </w:p>
        </w:tc>
        <w:tc>
          <w:tcPr>
            <w:tcW w:type="dxa" w:w="2777"/>
            <w:shd w:val="clear" w:color="auto" w:fill="F2F5F8"/>
          </w:tcPr>
          <w:p>
            <w:pPr>
              <w:spacing w:after="0"/>
              <w:jc w:val="left"/>
            </w:pPr>
            <w:r/>
            <w:r>
              <w:rPr>
                <w:rFonts w:ascii="Calibri" w:hAnsi="Calibri"/>
                <w:b w:val="0"/>
                <w:color w:val="1A1A1A"/>
                <w:sz w:val="24"/>
              </w:rPr>
              <w:t>Classificação, registro ou notificação e instruções de uso.</w:t>
            </w:r>
          </w:p>
        </w:tc>
        <w:tc>
          <w:tcPr>
            <w:tcW w:type="dxa" w:w="2304"/>
            <w:shd w:val="clear" w:color="auto" w:fill="F2F5F8"/>
          </w:tcPr>
          <w:p>
            <w:pPr>
              <w:spacing w:after="0"/>
              <w:jc w:val="left"/>
            </w:pPr>
            <w:r/>
            <w:r>
              <w:rPr>
                <w:rFonts w:ascii="Calibri" w:hAnsi="Calibri"/>
                <w:b w:val="0"/>
                <w:color w:val="1A1A1A"/>
                <w:sz w:val="24"/>
              </w:rPr>
              <w:t>Norma vigente</w:t>
            </w:r>
          </w:p>
        </w:tc>
      </w:tr>
      <w:tr>
        <w:trPr>
          <w:cantSplit/>
        </w:trPr>
        <w:tc>
          <w:tcPr>
            <w:tcW w:type="dxa" w:w="2305"/>
          </w:tcPr>
          <w:p>
            <w:pPr>
              <w:spacing w:after="0"/>
              <w:jc w:val="left"/>
            </w:pPr>
            <w:r/>
            <w:r>
              <w:rPr>
                <w:rFonts w:ascii="Calibri" w:hAnsi="Calibri"/>
                <w:b w:val="0"/>
                <w:color w:val="1A1A1A"/>
                <w:sz w:val="24"/>
              </w:rPr>
              <w:t>Conformidade</w:t>
            </w:r>
          </w:p>
        </w:tc>
        <w:tc>
          <w:tcPr>
            <w:tcW w:type="dxa" w:w="1685"/>
          </w:tcPr>
          <w:p>
            <w:pPr>
              <w:spacing w:after="0"/>
              <w:jc w:val="left"/>
            </w:pPr>
            <w:r/>
            <w:r>
              <w:rPr>
                <w:rFonts w:ascii="Calibri" w:hAnsi="Calibri"/>
                <w:b w:val="0"/>
                <w:color w:val="1A1A1A"/>
                <w:sz w:val="24"/>
              </w:rPr>
              <w:t>RDC Anvisa nº 549/2021</w:t>
            </w:r>
          </w:p>
        </w:tc>
        <w:tc>
          <w:tcPr>
            <w:tcW w:type="dxa" w:w="2777"/>
          </w:tcPr>
          <w:p>
            <w:pPr>
              <w:spacing w:after="0"/>
              <w:jc w:val="left"/>
            </w:pPr>
            <w:r/>
            <w:r>
              <w:rPr>
                <w:rFonts w:ascii="Calibri" w:hAnsi="Calibri"/>
                <w:b w:val="0"/>
                <w:color w:val="1A1A1A"/>
                <w:sz w:val="24"/>
              </w:rPr>
              <w:t>Certificação de equipamentos quando aplicável.</w:t>
            </w:r>
          </w:p>
        </w:tc>
        <w:tc>
          <w:tcPr>
            <w:tcW w:type="dxa" w:w="2304"/>
          </w:tcPr>
          <w:p>
            <w:pPr>
              <w:spacing w:after="0"/>
              <w:jc w:val="left"/>
            </w:pPr>
            <w:r/>
            <w:r>
              <w:rPr>
                <w:rFonts w:ascii="Calibri" w:hAnsi="Calibri"/>
                <w:b w:val="0"/>
                <w:color w:val="1A1A1A"/>
                <w:sz w:val="24"/>
              </w:rPr>
              <w:t>Norma vigente</w:t>
            </w:r>
          </w:p>
        </w:tc>
      </w:tr>
      <w:tr>
        <w:trPr>
          <w:cantSplit/>
        </w:trPr>
        <w:tc>
          <w:tcPr>
            <w:tcW w:type="dxa" w:w="2305"/>
            <w:shd w:val="clear" w:color="auto" w:fill="F2F5F8"/>
          </w:tcPr>
          <w:p>
            <w:pPr>
              <w:spacing w:after="0"/>
              <w:jc w:val="left"/>
            </w:pPr>
            <w:r/>
            <w:r>
              <w:rPr>
                <w:rFonts w:ascii="Calibri" w:hAnsi="Calibri"/>
                <w:b w:val="0"/>
                <w:color w:val="1A1A1A"/>
                <w:sz w:val="24"/>
              </w:rPr>
              <w:t>Dados pessoais</w:t>
            </w:r>
          </w:p>
        </w:tc>
        <w:tc>
          <w:tcPr>
            <w:tcW w:type="dxa" w:w="1685"/>
            <w:shd w:val="clear" w:color="auto" w:fill="F2F5F8"/>
          </w:tcPr>
          <w:p>
            <w:pPr>
              <w:spacing w:after="0"/>
              <w:jc w:val="left"/>
            </w:pPr>
            <w:r/>
            <w:r>
              <w:rPr>
                <w:rFonts w:ascii="Calibri" w:hAnsi="Calibri"/>
                <w:b w:val="0"/>
                <w:color w:val="1A1A1A"/>
                <w:sz w:val="24"/>
              </w:rPr>
              <w:t>Lei nº 13.709/2018</w:t>
            </w:r>
          </w:p>
        </w:tc>
        <w:tc>
          <w:tcPr>
            <w:tcW w:type="dxa" w:w="2777"/>
            <w:shd w:val="clear" w:color="auto" w:fill="F2F5F8"/>
          </w:tcPr>
          <w:p>
            <w:pPr>
              <w:spacing w:after="0"/>
              <w:jc w:val="left"/>
            </w:pPr>
            <w:r/>
            <w:r>
              <w:rPr>
                <w:rFonts w:ascii="Calibri" w:hAnsi="Calibri"/>
                <w:b w:val="0"/>
                <w:color w:val="1A1A1A"/>
                <w:sz w:val="24"/>
              </w:rPr>
              <w:t>Tratamento de dados pessoais e de dados de saúde.</w:t>
            </w:r>
          </w:p>
        </w:tc>
        <w:tc>
          <w:tcPr>
            <w:tcW w:type="dxa" w:w="2304"/>
            <w:shd w:val="clear" w:color="auto" w:fill="F2F5F8"/>
          </w:tcPr>
          <w:p>
            <w:pPr>
              <w:spacing w:after="0"/>
              <w:jc w:val="left"/>
            </w:pPr>
            <w:r/>
            <w:r>
              <w:rPr>
                <w:rFonts w:ascii="Calibri" w:hAnsi="Calibri"/>
                <w:b w:val="0"/>
                <w:color w:val="1A1A1A"/>
                <w:sz w:val="24"/>
              </w:rPr>
              <w:t>Norma vigente</w:t>
            </w:r>
          </w:p>
        </w:tc>
      </w:tr>
    </w:tbl>
    <w:p>
      <w:r>
        <w:br w:type="page"/>
      </w:r>
    </w:p>
    <w:p>
      <w:pPr>
        <w:keepNext/>
        <w:spacing w:before="360" w:after="160"/>
        <w:jc w:val="left"/>
        <w:pBdr>
          <w:bottom w:val="single" w:sz="8" w:space="4" w:color="143C64"/>
        </w:pBdr>
      </w:pPr>
      <w:r>
        <w:rPr>
          <w:rFonts w:ascii="Calibri" w:hAnsi="Calibri"/>
          <w:b/>
          <w:color w:val="143C64"/>
          <w:sz w:val="30"/>
        </w:rPr>
        <w:t>4  Matriz científica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659"/>
        <w:gridCol w:w="1777"/>
        <w:gridCol w:w="2258"/>
        <w:gridCol w:w="2378"/>
      </w:tblGrid>
      <w:tr>
        <w:trPr>
          <w:cantSplit/>
          <w:tblHeader/>
        </w:trPr>
        <w:tc>
          <w:tcPr>
            <w:tcW w:type="dxa" w:w="2659"/>
            <w:shd w:val="clear" w:color="auto" w:fill="143C64"/>
          </w:tcPr>
          <w:p>
            <w:pPr>
              <w:spacing w:after="0"/>
              <w:jc w:val="left"/>
            </w:pPr>
            <w:r/>
            <w:r>
              <w:rPr>
                <w:rFonts w:ascii="Calibri" w:hAnsi="Calibri"/>
                <w:b/>
                <w:color w:val="FFFFFF"/>
                <w:sz w:val="24"/>
              </w:rPr>
              <w:t>Referência e identificadores</w:t>
            </w:r>
          </w:p>
        </w:tc>
        <w:tc>
          <w:tcPr>
            <w:tcW w:type="dxa" w:w="1777"/>
            <w:shd w:val="clear" w:color="auto" w:fill="143C64"/>
          </w:tcPr>
          <w:p>
            <w:pPr>
              <w:spacing w:after="0"/>
              <w:jc w:val="left"/>
            </w:pPr>
            <w:r/>
            <w:r>
              <w:rPr>
                <w:rFonts w:ascii="Calibri" w:hAnsi="Calibri"/>
                <w:b/>
                <w:color w:val="FFFFFF"/>
                <w:sz w:val="24"/>
              </w:rPr>
              <w:t>Desenho</w:t>
            </w:r>
          </w:p>
        </w:tc>
        <w:tc>
          <w:tcPr>
            <w:tcW w:type="dxa" w:w="2258"/>
            <w:shd w:val="clear" w:color="auto" w:fill="143C64"/>
          </w:tcPr>
          <w:p>
            <w:pPr>
              <w:spacing w:after="0"/>
              <w:jc w:val="left"/>
            </w:pPr>
            <w:r/>
            <w:r>
              <w:rPr>
                <w:rFonts w:ascii="Calibri" w:hAnsi="Calibri"/>
                <w:b/>
                <w:color w:val="FFFFFF"/>
                <w:sz w:val="24"/>
              </w:rPr>
              <w:t>O que sustenta</w:t>
            </w:r>
          </w:p>
        </w:tc>
        <w:tc>
          <w:tcPr>
            <w:tcW w:type="dxa" w:w="2378"/>
            <w:shd w:val="clear" w:color="auto" w:fill="143C64"/>
          </w:tcPr>
          <w:p>
            <w:pPr>
              <w:spacing w:after="0"/>
              <w:jc w:val="left"/>
            </w:pPr>
            <w:r/>
            <w:r>
              <w:rPr>
                <w:rFonts w:ascii="Calibri" w:hAnsi="Calibri"/>
                <w:b/>
                <w:color w:val="FFFFFF"/>
                <w:sz w:val="24"/>
              </w:rPr>
              <w:t>Limite declarado</w:t>
            </w:r>
          </w:p>
        </w:tc>
      </w:tr>
      <w:tr>
        <w:trPr>
          <w:cantSplit/>
        </w:trPr>
        <w:tc>
          <w:tcPr>
            <w:tcW w:type="dxa" w:w="2659"/>
          </w:tcPr>
          <w:p>
            <w:pPr>
              <w:spacing w:after="0"/>
              <w:jc w:val="left"/>
            </w:pPr>
            <w:r/>
            <w:r>
              <w:rPr>
                <w:rFonts w:ascii="Calibri" w:hAnsi="Calibri"/>
                <w:b w:val="0"/>
                <w:color w:val="1A1A1A"/>
                <w:sz w:val="24"/>
              </w:rPr>
              <w:t>Madero-Pérez J et al. Aesthetic Plast Surg. 2025;50(5):2068-2082.</w:t>
            </w:r>
          </w:p>
          <w:p>
            <w:pPr>
              <w:spacing w:after="0"/>
              <w:jc w:val="left"/>
            </w:pP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tc>
        <w:tc>
          <w:tcPr>
            <w:tcW w:type="dxa" w:w="1777"/>
          </w:tcPr>
          <w:p>
            <w:pPr>
              <w:spacing w:after="0"/>
              <w:jc w:val="left"/>
            </w:pPr>
            <w:r/>
            <w:r>
              <w:rPr>
                <w:rFonts w:ascii="Calibri" w:hAnsi="Calibri"/>
                <w:b w:val="0"/>
                <w:color w:val="1A1A1A"/>
                <w:sz w:val="24"/>
              </w:rPr>
              <w:t>Revisão sistemática</w:t>
            </w:r>
          </w:p>
        </w:tc>
        <w:tc>
          <w:tcPr>
            <w:tcW w:type="dxa" w:w="2258"/>
          </w:tcPr>
          <w:p>
            <w:pPr>
              <w:spacing w:after="0"/>
              <w:jc w:val="left"/>
            </w:pPr>
            <w:r/>
            <w:r>
              <w:rPr>
                <w:rFonts w:ascii="Calibri" w:hAnsi="Calibri"/>
                <w:b w:val="0"/>
                <w:color w:val="1A1A1A"/>
                <w:sz w:val="24"/>
              </w:rPr>
              <w:t>Sinais mais prevalentes de oclusão vascular cutânea; janela de quatro a seis horas; reversibilidade em estágio inicial; papel da orientação por imagem na redução de dose.</w:t>
            </w:r>
          </w:p>
        </w:tc>
        <w:tc>
          <w:tcPr>
            <w:tcW w:type="dxa" w:w="2378"/>
          </w:tcPr>
          <w:p>
            <w:pPr>
              <w:spacing w:after="0"/>
              <w:jc w:val="left"/>
            </w:pPr>
            <w:r/>
            <w:r>
              <w:rPr>
                <w:rFonts w:ascii="Calibri" w:hAnsi="Calibri"/>
                <w:b w:val="0"/>
                <w:color w:val="1A1A1A"/>
                <w:sz w:val="24"/>
              </w:rPr>
              <w:t>Síntese de séries e consensos, não ensaio comparativo. Origem na prática médica.</w:t>
            </w:r>
          </w:p>
        </w:tc>
      </w:tr>
      <w:tr>
        <w:trPr>
          <w:cantSplit/>
        </w:trPr>
        <w:tc>
          <w:tcPr>
            <w:tcW w:type="dxa" w:w="2659"/>
            <w:shd w:val="clear" w:color="auto" w:fill="F2F5F8"/>
          </w:tcPr>
          <w:p>
            <w:pPr>
              <w:spacing w:after="0"/>
              <w:jc w:val="left"/>
            </w:pPr>
            <w:r/>
            <w:r>
              <w:rPr>
                <w:rFonts w:ascii="Calibri" w:hAnsi="Calibri"/>
                <w:b w:val="0"/>
                <w:color w:val="1A1A1A"/>
                <w:sz w:val="24"/>
              </w:rPr>
              <w:t>Madero-Pérez J et al. Aesthetic Plast Surg. 2026;50(11):4387-4404.</w:t>
            </w:r>
          </w:p>
          <w:p>
            <w:pPr>
              <w:spacing w:after="0"/>
              <w:jc w:val="left"/>
            </w:pP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tc>
        <w:tc>
          <w:tcPr>
            <w:tcW w:type="dxa" w:w="1777"/>
            <w:shd w:val="clear" w:color="auto" w:fill="F2F5F8"/>
          </w:tcPr>
          <w:p>
            <w:pPr>
              <w:spacing w:after="0"/>
              <w:jc w:val="left"/>
            </w:pPr>
            <w:r/>
            <w:r>
              <w:rPr>
                <w:rFonts w:ascii="Calibri" w:hAnsi="Calibri"/>
                <w:b w:val="0"/>
                <w:color w:val="1A1A1A"/>
                <w:sz w:val="24"/>
              </w:rPr>
              <w:t>Revisão, 35 artigos, PRISMA 2020</w:t>
            </w:r>
          </w:p>
        </w:tc>
        <w:tc>
          <w:tcPr>
            <w:tcW w:type="dxa" w:w="2258"/>
            <w:shd w:val="clear" w:color="auto" w:fill="F2F5F8"/>
          </w:tcPr>
          <w:p>
            <w:pPr>
              <w:spacing w:after="0"/>
              <w:jc w:val="left"/>
            </w:pPr>
            <w:r/>
            <w:r>
              <w:rPr>
                <w:rFonts w:ascii="Calibri" w:hAnsi="Calibri"/>
                <w:b w:val="0"/>
                <w:color w:val="1A1A1A"/>
                <w:sz w:val="24"/>
              </w:rPr>
              <w:t>Classificação temporal do evento vascular; manifestações oftálmicas; proporção de complicações neurológicas relatadas; centralidade da intervenção precoce.</w:t>
            </w:r>
          </w:p>
        </w:tc>
        <w:tc>
          <w:tcPr>
            <w:tcW w:type="dxa" w:w="2378"/>
            <w:shd w:val="clear" w:color="auto" w:fill="F2F5F8"/>
          </w:tcPr>
          <w:p>
            <w:pPr>
              <w:spacing w:after="0"/>
              <w:jc w:val="left"/>
            </w:pPr>
            <w:r/>
            <w:r>
              <w:rPr>
                <w:rFonts w:ascii="Calibri" w:hAnsi="Calibri"/>
                <w:b w:val="0"/>
                <w:color w:val="1A1A1A"/>
                <w:sz w:val="24"/>
              </w:rPr>
              <w:t>Predomínio de relatos e séries, sujeito a viés de publicação.</w:t>
            </w:r>
          </w:p>
        </w:tc>
      </w:tr>
      <w:tr>
        <w:trPr>
          <w:cantSplit/>
        </w:trPr>
        <w:tc>
          <w:tcPr>
            <w:tcW w:type="dxa" w:w="2659"/>
          </w:tcPr>
          <w:p>
            <w:pPr>
              <w:spacing w:after="0"/>
              <w:jc w:val="left"/>
            </w:pPr>
            <w:r/>
            <w:r>
              <w:rPr>
                <w:rFonts w:ascii="Calibri" w:hAnsi="Calibri"/>
                <w:b w:val="0"/>
                <w:color w:val="1A1A1A"/>
                <w:sz w:val="24"/>
              </w:rPr>
              <w:t>Madero-Pérez J et al. Aesthetic Plast Surg. 2025;49(14):4043-4056.</w:t>
            </w:r>
          </w:p>
          <w:p>
            <w:pPr>
              <w:spacing w:after="0"/>
              <w:jc w:val="left"/>
            </w:pP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tc>
        <w:tc>
          <w:tcPr>
            <w:tcW w:type="dxa" w:w="1777"/>
          </w:tcPr>
          <w:p>
            <w:pPr>
              <w:spacing w:after="0"/>
              <w:jc w:val="left"/>
            </w:pPr>
            <w:r/>
            <w:r>
              <w:rPr>
                <w:rFonts w:ascii="Calibri" w:hAnsi="Calibri"/>
                <w:b w:val="0"/>
                <w:color w:val="1A1A1A"/>
                <w:sz w:val="24"/>
              </w:rPr>
              <w:t>Revisão</w:t>
            </w:r>
          </w:p>
        </w:tc>
        <w:tc>
          <w:tcPr>
            <w:tcW w:type="dxa" w:w="2258"/>
          </w:tcPr>
          <w:p>
            <w:pPr>
              <w:spacing w:after="0"/>
              <w:jc w:val="left"/>
            </w:pPr>
            <w:r/>
            <w:r>
              <w:rPr>
                <w:rFonts w:ascii="Calibri" w:hAnsi="Calibri"/>
                <w:b w:val="0"/>
                <w:color w:val="1A1A1A"/>
                <w:sz w:val="24"/>
              </w:rPr>
              <w:t>Lógica de organização do kit de emergência por níveis de prioridade e por cenário, e gestão formal de inventário e validade.</w:t>
            </w:r>
          </w:p>
        </w:tc>
        <w:tc>
          <w:tcPr>
            <w:tcW w:type="dxa" w:w="2378"/>
          </w:tcPr>
          <w:p>
            <w:pPr>
              <w:spacing w:after="0"/>
              <w:jc w:val="left"/>
            </w:pPr>
            <w:r/>
            <w:r>
              <w:rPr>
                <w:rFonts w:ascii="Calibri" w:hAnsi="Calibri"/>
                <w:b w:val="0"/>
                <w:color w:val="1A1A1A"/>
                <w:sz w:val="24"/>
              </w:rPr>
              <w:t>Recomendações dirigidas à prática médica. A composição para o serviço odontológico exige deliberação própria.</w:t>
            </w:r>
          </w:p>
        </w:tc>
      </w:tr>
      <w:tr>
        <w:trPr>
          <w:cantSplit/>
        </w:trPr>
        <w:tc>
          <w:tcPr>
            <w:tcW w:type="dxa" w:w="2659"/>
            <w:shd w:val="clear" w:color="auto" w:fill="F2F5F8"/>
          </w:tcPr>
          <w:p>
            <w:pPr>
              <w:spacing w:after="0"/>
              <w:jc w:val="left"/>
            </w:pPr>
            <w:r/>
            <w:r>
              <w:rPr>
                <w:rFonts w:ascii="Calibri" w:hAnsi="Calibri"/>
                <w:b w:val="0"/>
                <w:color w:val="1A1A1A"/>
                <w:sz w:val="24"/>
              </w:rPr>
              <w:t>Paluch Ł et al. Postepy Dermatol Alergol. 37(3):371-376.</w:t>
            </w:r>
          </w:p>
          <w:p>
            <w:pPr>
              <w:spacing w:after="0"/>
              <w:jc w:val="left"/>
            </w:pPr>
            <w:r>
              <w:rPr>
                <w:rFonts w:ascii="Calibri" w:hAnsi="Calibri"/>
                <w:b w:val="0"/>
                <w:color w:val="1A1A1A"/>
                <w:sz w:val="24"/>
              </w:rPr>
              <w:t>PMID 32792878</w:t>
            </w:r>
          </w:p>
          <w:p>
            <w:pPr>
              <w:spacing w:after="0"/>
              <w:jc w:val="left"/>
            </w:pPr>
            <w:r>
              <w:rPr>
                <w:rFonts w:ascii="Calibri" w:hAnsi="Calibri"/>
                <w:b w:val="0"/>
                <w:color w:val="1A1A1A"/>
                <w:sz w:val="24"/>
              </w:rPr>
              <w:t>DOI 10.5114/ada.2018.81144</w:t>
            </w:r>
          </w:p>
        </w:tc>
        <w:tc>
          <w:tcPr>
            <w:tcW w:type="dxa" w:w="1777"/>
            <w:shd w:val="clear" w:color="auto" w:fill="F2F5F8"/>
          </w:tcPr>
          <w:p>
            <w:pPr>
              <w:spacing w:after="0"/>
              <w:jc w:val="left"/>
            </w:pPr>
            <w:r/>
            <w:r>
              <w:rPr>
                <w:rFonts w:ascii="Calibri" w:hAnsi="Calibri"/>
                <w:b w:val="0"/>
                <w:color w:val="1A1A1A"/>
                <w:sz w:val="24"/>
              </w:rPr>
              <w:t>Estudo transversal, 57 participantes</w:t>
            </w:r>
          </w:p>
        </w:tc>
        <w:tc>
          <w:tcPr>
            <w:tcW w:type="dxa" w:w="2258"/>
            <w:shd w:val="clear" w:color="auto" w:fill="F2F5F8"/>
          </w:tcPr>
          <w:p>
            <w:pPr>
              <w:spacing w:after="0"/>
              <w:jc w:val="left"/>
            </w:pPr>
            <w:r/>
            <w:r>
              <w:rPr>
                <w:rFonts w:ascii="Calibri" w:hAnsi="Calibri"/>
                <w:b w:val="0"/>
                <w:color w:val="1A1A1A"/>
                <w:sz w:val="24"/>
              </w:rPr>
              <w:t>Reprodutibilidade intraobservador da elastografia por onda de cisalhamento na pele facial, em derme, subcutâneo e SMAS.</w:t>
            </w:r>
          </w:p>
        </w:tc>
        <w:tc>
          <w:tcPr>
            <w:tcW w:type="dxa" w:w="2378"/>
            <w:shd w:val="clear" w:color="auto" w:fill="F2F5F8"/>
          </w:tcPr>
          <w:p>
            <w:pPr>
              <w:spacing w:after="0"/>
              <w:jc w:val="left"/>
            </w:pPr>
            <w:r/>
            <w:r>
              <w:rPr>
                <w:rFonts w:ascii="Calibri" w:hAnsi="Calibri"/>
                <w:b w:val="0"/>
                <w:color w:val="1A1A1A"/>
                <w:sz w:val="24"/>
              </w:rPr>
              <w:t>Reprodutibilidade de medida não equivale a validação diagnóstica para fibrose, granuloma ou intercorrências.</w:t>
            </w:r>
          </w:p>
        </w:tc>
      </w:tr>
      <w:tr>
        <w:trPr>
          <w:cantSplit/>
        </w:trPr>
        <w:tc>
          <w:tcPr>
            <w:tcW w:type="dxa" w:w="2659"/>
          </w:tcPr>
          <w:p>
            <w:pPr>
              <w:spacing w:after="0"/>
              <w:jc w:val="left"/>
            </w:pPr>
            <w:r/>
            <w:r>
              <w:rPr>
                <w:rFonts w:ascii="Calibri" w:hAnsi="Calibri"/>
                <w:b w:val="0"/>
                <w:color w:val="1A1A1A"/>
                <w:sz w:val="24"/>
              </w:rPr>
              <w:t>Colceriu AA et al. Aesthet Surg J Open Forum. 2026;8:ojag114.</w:t>
            </w:r>
          </w:p>
          <w:p>
            <w:pPr>
              <w:spacing w:after="0"/>
              <w:jc w:val="left"/>
            </w:pPr>
            <w:r>
              <w:rPr>
                <w:rFonts w:ascii="Calibri" w:hAnsi="Calibri"/>
                <w:b w:val="0"/>
                <w:color w:val="1A1A1A"/>
                <w:sz w:val="24"/>
              </w:rPr>
              <w:t>PMID 42422339</w:t>
            </w:r>
          </w:p>
          <w:p>
            <w:pPr>
              <w:spacing w:after="0"/>
              <w:jc w:val="left"/>
            </w:pPr>
            <w:r>
              <w:rPr>
                <w:rFonts w:ascii="Calibri" w:hAnsi="Calibri"/>
                <w:b w:val="0"/>
                <w:color w:val="1A1A1A"/>
                <w:sz w:val="24"/>
              </w:rPr>
              <w:t>DOI 10.1093/asjof/ojag114</w:t>
            </w:r>
          </w:p>
        </w:tc>
        <w:tc>
          <w:tcPr>
            <w:tcW w:type="dxa" w:w="1777"/>
          </w:tcPr>
          <w:p>
            <w:pPr>
              <w:spacing w:after="0"/>
              <w:jc w:val="left"/>
            </w:pPr>
            <w:r/>
            <w:r>
              <w:rPr>
                <w:rFonts w:ascii="Calibri" w:hAnsi="Calibri"/>
                <w:b w:val="0"/>
                <w:color w:val="1A1A1A"/>
                <w:sz w:val="24"/>
              </w:rPr>
              <w:t>Revisão sistemática, 29 de 1.832 registros</w:t>
            </w:r>
          </w:p>
        </w:tc>
        <w:tc>
          <w:tcPr>
            <w:tcW w:type="dxa" w:w="2258"/>
          </w:tcPr>
          <w:p>
            <w:pPr>
              <w:spacing w:after="0"/>
              <w:jc w:val="left"/>
            </w:pPr>
            <w:r/>
            <w:r>
              <w:rPr>
                <w:rFonts w:ascii="Calibri" w:hAnsi="Calibri"/>
                <w:b w:val="0"/>
                <w:color w:val="1A1A1A"/>
                <w:sz w:val="24"/>
              </w:rPr>
              <w:t>Panorama da inteligência artificial em cirurgia estética facial, com predomínio de estudos de desenvolvimento e validação.</w:t>
            </w:r>
          </w:p>
        </w:tc>
        <w:tc>
          <w:tcPr>
            <w:tcW w:type="dxa" w:w="2378"/>
          </w:tcPr>
          <w:p>
            <w:pPr>
              <w:spacing w:after="0"/>
              <w:jc w:val="left"/>
            </w:pPr>
            <w:r/>
            <w:r>
              <w:rPr>
                <w:rFonts w:ascii="Calibri" w:hAnsi="Calibri"/>
                <w:b w:val="0"/>
                <w:color w:val="1A1A1A"/>
                <w:sz w:val="24"/>
              </w:rPr>
              <w:t>Escopo em cirurgia estética facial; poucos estudos intervencionistas; impacto clínico direto ainda limitado.</w:t>
            </w:r>
          </w:p>
        </w:tc>
      </w:tr>
    </w:tbl>
    <w:p>
      <w:r>
        <w:br w:type="page"/>
      </w:r>
    </w:p>
    <w:p>
      <w:pPr>
        <w:keepNext/>
        <w:spacing w:before="360" w:after="160"/>
        <w:jc w:val="left"/>
        <w:pBdr>
          <w:bottom w:val="single" w:sz="8" w:space="4" w:color="143C64"/>
        </w:pBdr>
      </w:pPr>
      <w:r>
        <w:rPr>
          <w:rFonts w:ascii="Calibri" w:hAnsi="Calibri"/>
          <w:b/>
          <w:color w:val="143C64"/>
          <w:sz w:val="30"/>
        </w:rPr>
        <w:t>5  Matriz de afirmações críticas do pacote</w:t>
      </w:r>
    </w:p>
    <w:p>
      <w:pPr>
        <w:spacing w:after="120"/>
        <w:jc w:val="both"/>
      </w:pPr>
      <w:r>
        <w:rPr>
          <w:rFonts w:ascii="Calibri" w:hAnsi="Calibri"/>
          <w:b w:val="0"/>
          <w:i w:val="0"/>
          <w:color w:val="1A1A1A"/>
          <w:sz w:val="24"/>
        </w:rPr>
        <w:t>As afirmações abaixo são as que mais expõem o Núcleo em caso de leitura crítica externa. Cada uma traz sua categoria de sustentação e a decisão editorial adotada.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212"/>
        <w:gridCol w:w="2480"/>
        <w:gridCol w:w="3381"/>
      </w:tblGrid>
      <w:tr>
        <w:trPr>
          <w:cantSplit/>
          <w:tblHeader/>
        </w:trPr>
        <w:tc>
          <w:tcPr>
            <w:tcW w:type="dxa" w:w="3212"/>
            <w:shd w:val="clear" w:color="auto" w:fill="143C64"/>
          </w:tcPr>
          <w:p>
            <w:pPr>
              <w:spacing w:after="0"/>
              <w:jc w:val="left"/>
            </w:pPr>
            <w:r/>
            <w:r>
              <w:rPr>
                <w:rFonts w:ascii="Calibri" w:hAnsi="Calibri"/>
                <w:b/>
                <w:color w:val="FFFFFF"/>
                <w:sz w:val="24"/>
              </w:rPr>
              <w:t>Afirmação</w:t>
            </w:r>
          </w:p>
        </w:tc>
        <w:tc>
          <w:tcPr>
            <w:tcW w:type="dxa" w:w="2480"/>
            <w:shd w:val="clear" w:color="auto" w:fill="143C64"/>
          </w:tcPr>
          <w:p>
            <w:pPr>
              <w:spacing w:after="0"/>
              <w:jc w:val="left"/>
            </w:pPr>
            <w:r/>
            <w:r>
              <w:rPr>
                <w:rFonts w:ascii="Calibri" w:hAnsi="Calibri"/>
                <w:b/>
                <w:color w:val="FFFFFF"/>
                <w:sz w:val="24"/>
              </w:rPr>
              <w:t>Categoria</w:t>
            </w:r>
          </w:p>
        </w:tc>
        <w:tc>
          <w:tcPr>
            <w:tcW w:type="dxa" w:w="3381"/>
            <w:shd w:val="clear" w:color="auto" w:fill="143C64"/>
          </w:tcPr>
          <w:p>
            <w:pPr>
              <w:spacing w:after="0"/>
              <w:jc w:val="left"/>
            </w:pPr>
            <w:r/>
            <w:r>
              <w:rPr>
                <w:rFonts w:ascii="Calibri" w:hAnsi="Calibri"/>
                <w:b/>
                <w:color w:val="FFFFFF"/>
                <w:sz w:val="24"/>
              </w:rPr>
              <w:t>Decisão editorial</w:t>
            </w:r>
          </w:p>
        </w:tc>
      </w:tr>
      <w:tr>
        <w:trPr>
          <w:cantSplit/>
        </w:trPr>
        <w:tc>
          <w:tcPr>
            <w:tcW w:type="dxa" w:w="3212"/>
          </w:tcPr>
          <w:p>
            <w:pPr>
              <w:spacing w:after="0"/>
              <w:jc w:val="left"/>
            </w:pPr>
            <w:r/>
            <w:r>
              <w:rPr>
                <w:rFonts w:ascii="Calibri" w:hAnsi="Calibri"/>
                <w:b w:val="0"/>
                <w:color w:val="1A1A1A"/>
                <w:sz w:val="24"/>
              </w:rPr>
              <w:t>Não existe periodicidade universal de calibração aplicável a todo equipamento.</w:t>
            </w:r>
          </w:p>
        </w:tc>
        <w:tc>
          <w:tcPr>
            <w:tcW w:type="dxa" w:w="2480"/>
          </w:tcPr>
          <w:p>
            <w:pPr>
              <w:spacing w:after="0"/>
              <w:jc w:val="left"/>
            </w:pPr>
            <w:r/>
            <w:r>
              <w:rPr>
                <w:rFonts w:ascii="Calibri" w:hAnsi="Calibri"/>
                <w:b w:val="0"/>
                <w:color w:val="1A1A1A"/>
                <w:sz w:val="24"/>
              </w:rPr>
              <w:t>Síntese normativa</w:t>
            </w:r>
          </w:p>
        </w:tc>
        <w:tc>
          <w:tcPr>
            <w:tcW w:type="dxa" w:w="3381"/>
          </w:tcPr>
          <w:p>
            <w:pPr>
              <w:spacing w:after="0"/>
              <w:jc w:val="left"/>
            </w:pPr>
            <w:r/>
            <w:r>
              <w:rPr>
                <w:rFonts w:ascii="Calibri" w:hAnsi="Calibri"/>
                <w:b w:val="0"/>
                <w:color w:val="1A1A1A"/>
                <w:sz w:val="24"/>
              </w:rPr>
              <w:t>Manter, com citação dos atos e ressalva quanto a normas específicas e locais.</w:t>
            </w:r>
          </w:p>
        </w:tc>
      </w:tr>
      <w:tr>
        <w:trPr>
          <w:cantSplit/>
        </w:trPr>
        <w:tc>
          <w:tcPr>
            <w:tcW w:type="dxa" w:w="3212"/>
            <w:shd w:val="clear" w:color="auto" w:fill="F2F5F8"/>
          </w:tcPr>
          <w:p>
            <w:pPr>
              <w:spacing w:after="0"/>
              <w:jc w:val="left"/>
            </w:pPr>
            <w:r/>
            <w:r>
              <w:rPr>
                <w:rFonts w:ascii="Calibri" w:hAnsi="Calibri"/>
                <w:b w:val="0"/>
                <w:color w:val="1A1A1A"/>
                <w:sz w:val="24"/>
              </w:rPr>
              <w:t>Calibração ou verificação de desempenho e certificação de conformidade são controles distintos.</w:t>
            </w:r>
          </w:p>
        </w:tc>
        <w:tc>
          <w:tcPr>
            <w:tcW w:type="dxa" w:w="2480"/>
            <w:shd w:val="clear" w:color="auto" w:fill="F2F5F8"/>
          </w:tcPr>
          <w:p>
            <w:pPr>
              <w:spacing w:after="0"/>
              <w:jc w:val="left"/>
            </w:pPr>
            <w:r/>
            <w:r>
              <w:rPr>
                <w:rFonts w:ascii="Calibri" w:hAnsi="Calibri"/>
                <w:b w:val="0"/>
                <w:color w:val="1A1A1A"/>
                <w:sz w:val="24"/>
              </w:rPr>
              <w:t>Síntese técnica e regulatória</w:t>
            </w:r>
          </w:p>
        </w:tc>
        <w:tc>
          <w:tcPr>
            <w:tcW w:type="dxa" w:w="3381"/>
            <w:shd w:val="clear" w:color="auto" w:fill="F2F5F8"/>
          </w:tcPr>
          <w:p>
            <w:pPr>
              <w:spacing w:after="0"/>
              <w:jc w:val="left"/>
            </w:pPr>
            <w:r/>
            <w:r>
              <w:rPr>
                <w:rFonts w:ascii="Calibri" w:hAnsi="Calibri"/>
                <w:b w:val="0"/>
                <w:color w:val="1A1A1A"/>
                <w:sz w:val="24"/>
              </w:rPr>
              <w:t>Manter.</w:t>
            </w:r>
          </w:p>
        </w:tc>
      </w:tr>
      <w:tr>
        <w:trPr>
          <w:cantSplit/>
        </w:trPr>
        <w:tc>
          <w:tcPr>
            <w:tcW w:type="dxa" w:w="3212"/>
          </w:tcPr>
          <w:p>
            <w:pPr>
              <w:spacing w:after="0"/>
              <w:jc w:val="left"/>
            </w:pPr>
            <w:r/>
            <w:r>
              <w:rPr>
                <w:rFonts w:ascii="Calibri" w:hAnsi="Calibri"/>
                <w:b w:val="0"/>
                <w:color w:val="1A1A1A"/>
                <w:sz w:val="24"/>
              </w:rPr>
              <w:t>A ultrassonografia é recurso de elevado valor agregado em aplicações específicas.</w:t>
            </w:r>
          </w:p>
        </w:tc>
        <w:tc>
          <w:tcPr>
            <w:tcW w:type="dxa" w:w="2480"/>
          </w:tcPr>
          <w:p>
            <w:pPr>
              <w:spacing w:after="0"/>
              <w:jc w:val="left"/>
            </w:pPr>
            <w:r/>
            <w:r>
              <w:rPr>
                <w:rFonts w:ascii="Calibri" w:hAnsi="Calibri"/>
                <w:b w:val="0"/>
                <w:color w:val="1A1A1A"/>
                <w:sz w:val="24"/>
              </w:rPr>
              <w:t>Evidência científica somada a recomendação técnica</w:t>
            </w:r>
          </w:p>
        </w:tc>
        <w:tc>
          <w:tcPr>
            <w:tcW w:type="dxa" w:w="3381"/>
          </w:tcPr>
          <w:p>
            <w:pPr>
              <w:spacing w:after="0"/>
              <w:jc w:val="left"/>
            </w:pPr>
            <w:r/>
            <w:r>
              <w:rPr>
                <w:rFonts w:ascii="Calibri" w:hAnsi="Calibri"/>
                <w:b w:val="0"/>
                <w:color w:val="1A1A1A"/>
                <w:sz w:val="24"/>
              </w:rPr>
              <w:t>Manter com escopo delimitado. Vedado o uso genérico da expressão padrão-ouro.</w:t>
            </w:r>
          </w:p>
        </w:tc>
      </w:tr>
      <w:tr>
        <w:trPr>
          <w:cantSplit/>
        </w:trPr>
        <w:tc>
          <w:tcPr>
            <w:tcW w:type="dxa" w:w="3212"/>
            <w:shd w:val="clear" w:color="auto" w:fill="F2F5F8"/>
          </w:tcPr>
          <w:p>
            <w:pPr>
              <w:spacing w:after="0"/>
              <w:jc w:val="left"/>
            </w:pPr>
            <w:r/>
            <w:r>
              <w:rPr>
                <w:rFonts w:ascii="Calibri" w:hAnsi="Calibri"/>
                <w:b w:val="0"/>
                <w:color w:val="1A1A1A"/>
                <w:sz w:val="24"/>
              </w:rPr>
              <w:t>A intervenção precoce melhora o prognóstico na oclusão vascular cutânea.</w:t>
            </w:r>
          </w:p>
        </w:tc>
        <w:tc>
          <w:tcPr>
            <w:tcW w:type="dxa" w:w="2480"/>
            <w:shd w:val="clear" w:color="auto" w:fill="F2F5F8"/>
          </w:tcPr>
          <w:p>
            <w:pPr>
              <w:spacing w:after="0"/>
              <w:jc w:val="left"/>
            </w:pPr>
            <w:r/>
            <w:r>
              <w:rPr>
                <w:rFonts w:ascii="Calibri" w:hAnsi="Calibri"/>
                <w:b w:val="0"/>
                <w:color w:val="1A1A1A"/>
                <w:sz w:val="24"/>
              </w:rPr>
              <w:t>Evidência científica</w:t>
            </w:r>
          </w:p>
        </w:tc>
        <w:tc>
          <w:tcPr>
            <w:tcW w:type="dxa" w:w="3381"/>
            <w:shd w:val="clear" w:color="auto" w:fill="F2F5F8"/>
          </w:tcPr>
          <w:p>
            <w:pPr>
              <w:spacing w:after="0"/>
              <w:jc w:val="left"/>
            </w:pPr>
            <w:r/>
            <w:r>
              <w:rPr>
                <w:rFonts w:ascii="Calibri" w:hAnsi="Calibri"/>
                <w:b w:val="0"/>
                <w:color w:val="1A1A1A"/>
                <w:sz w:val="24"/>
              </w:rPr>
              <w:t>Manter, com desenho do estudo e limitações declarados, e sem transposição automática de conduta.</w:t>
            </w:r>
          </w:p>
        </w:tc>
      </w:tr>
      <w:tr>
        <w:trPr>
          <w:cantSplit/>
        </w:trPr>
        <w:tc>
          <w:tcPr>
            <w:tcW w:type="dxa" w:w="3212"/>
          </w:tcPr>
          <w:p>
            <w:pPr>
              <w:spacing w:after="0"/>
              <w:jc w:val="left"/>
            </w:pPr>
            <w:r/>
            <w:r>
              <w:rPr>
                <w:rFonts w:ascii="Calibri" w:hAnsi="Calibri"/>
                <w:b w:val="0"/>
                <w:color w:val="1A1A1A"/>
                <w:sz w:val="24"/>
              </w:rPr>
              <w:t>A elastografia é tecnologia promissora, sem validação diagnóstica ampla.</w:t>
            </w:r>
          </w:p>
        </w:tc>
        <w:tc>
          <w:tcPr>
            <w:tcW w:type="dxa" w:w="2480"/>
          </w:tcPr>
          <w:p>
            <w:pPr>
              <w:spacing w:after="0"/>
              <w:jc w:val="left"/>
            </w:pPr>
            <w:r/>
            <w:r>
              <w:rPr>
                <w:rFonts w:ascii="Calibri" w:hAnsi="Calibri"/>
                <w:b w:val="0"/>
                <w:color w:val="1A1A1A"/>
                <w:sz w:val="24"/>
              </w:rPr>
              <w:t>Evidência científica de escopo estreito</w:t>
            </w:r>
          </w:p>
        </w:tc>
        <w:tc>
          <w:tcPr>
            <w:tcW w:type="dxa" w:w="3381"/>
          </w:tcPr>
          <w:p>
            <w:pPr>
              <w:spacing w:after="0"/>
              <w:jc w:val="left"/>
            </w:pPr>
            <w:r/>
            <w:r>
              <w:rPr>
                <w:rFonts w:ascii="Calibri" w:hAnsi="Calibri"/>
                <w:b w:val="0"/>
                <w:color w:val="1A1A1A"/>
                <w:sz w:val="24"/>
              </w:rPr>
              <w:t>Manter. Vedado apresentar reprodutibilidade como validação.</w:t>
            </w:r>
          </w:p>
        </w:tc>
      </w:tr>
      <w:tr>
        <w:trPr>
          <w:cantSplit/>
        </w:trPr>
        <w:tc>
          <w:tcPr>
            <w:tcW w:type="dxa" w:w="3212"/>
            <w:shd w:val="clear" w:color="auto" w:fill="F2F5F8"/>
          </w:tcPr>
          <w:p>
            <w:pPr>
              <w:spacing w:after="0"/>
              <w:jc w:val="left"/>
            </w:pPr>
            <w:r/>
            <w:r>
              <w:rPr>
                <w:rFonts w:ascii="Calibri" w:hAnsi="Calibri"/>
                <w:b w:val="0"/>
                <w:color w:val="1A1A1A"/>
                <w:sz w:val="24"/>
              </w:rPr>
              <w:t>A termografia deve integrar monitoramento de horizonte, não recomendação rotineira.</w:t>
            </w:r>
          </w:p>
        </w:tc>
        <w:tc>
          <w:tcPr>
            <w:tcW w:type="dxa" w:w="2480"/>
            <w:shd w:val="clear" w:color="auto" w:fill="F2F5F8"/>
          </w:tcPr>
          <w:p>
            <w:pPr>
              <w:spacing w:after="0"/>
              <w:jc w:val="left"/>
            </w:pPr>
            <w:r/>
            <w:r>
              <w:rPr>
                <w:rFonts w:ascii="Calibri" w:hAnsi="Calibri"/>
                <w:b w:val="0"/>
                <w:color w:val="1A1A1A"/>
                <w:sz w:val="24"/>
              </w:rPr>
              <w:t>Lacuna de evidência</w:t>
            </w:r>
          </w:p>
        </w:tc>
        <w:tc>
          <w:tcPr>
            <w:tcW w:type="dxa" w:w="3381"/>
            <w:shd w:val="clear" w:color="auto" w:fill="F2F5F8"/>
          </w:tcPr>
          <w:p>
            <w:pPr>
              <w:spacing w:after="0"/>
              <w:jc w:val="left"/>
            </w:pPr>
            <w:r/>
            <w:r>
              <w:rPr>
                <w:rFonts w:ascii="Calibri" w:hAnsi="Calibri"/>
                <w:b w:val="0"/>
                <w:color w:val="1A1A1A"/>
                <w:sz w:val="24"/>
              </w:rPr>
              <w:t>Manter como prudência institucional, registrando que ausência de literatura não demonstra ineficácia.</w:t>
            </w:r>
          </w:p>
        </w:tc>
      </w:tr>
      <w:tr>
        <w:trPr>
          <w:cantSplit/>
        </w:trPr>
        <w:tc>
          <w:tcPr>
            <w:tcW w:type="dxa" w:w="3212"/>
          </w:tcPr>
          <w:p>
            <w:pPr>
              <w:spacing w:after="0"/>
              <w:jc w:val="left"/>
            </w:pPr>
            <w:r/>
            <w:r>
              <w:rPr>
                <w:rFonts w:ascii="Calibri" w:hAnsi="Calibri"/>
                <w:b w:val="0"/>
                <w:color w:val="1A1A1A"/>
                <w:sz w:val="24"/>
              </w:rPr>
              <w:t>A inteligência artificial não substitui exame clínico, diagnóstico nem responsabilidade profissional.</w:t>
            </w:r>
          </w:p>
        </w:tc>
        <w:tc>
          <w:tcPr>
            <w:tcW w:type="dxa" w:w="2480"/>
          </w:tcPr>
          <w:p>
            <w:pPr>
              <w:spacing w:after="0"/>
              <w:jc w:val="left"/>
            </w:pPr>
            <w:r/>
            <w:r>
              <w:rPr>
                <w:rFonts w:ascii="Calibri" w:hAnsi="Calibri"/>
                <w:b w:val="0"/>
                <w:color w:val="1A1A1A"/>
                <w:sz w:val="24"/>
              </w:rPr>
              <w:t>Princípio ético e de governança</w:t>
            </w:r>
          </w:p>
        </w:tc>
        <w:tc>
          <w:tcPr>
            <w:tcW w:type="dxa" w:w="3381"/>
          </w:tcPr>
          <w:p>
            <w:pPr>
              <w:spacing w:after="0"/>
              <w:jc w:val="left"/>
            </w:pPr>
            <w:r/>
            <w:r>
              <w:rPr>
                <w:rFonts w:ascii="Calibri" w:hAnsi="Calibri"/>
                <w:b w:val="0"/>
                <w:color w:val="1A1A1A"/>
                <w:sz w:val="24"/>
              </w:rPr>
              <w:t>Manter.</w:t>
            </w:r>
          </w:p>
        </w:tc>
      </w:tr>
      <w:tr>
        <w:trPr>
          <w:cantSplit/>
        </w:trPr>
        <w:tc>
          <w:tcPr>
            <w:tcW w:type="dxa" w:w="3212"/>
            <w:shd w:val="clear" w:color="auto" w:fill="F2F5F8"/>
          </w:tcPr>
          <w:p>
            <w:pPr>
              <w:spacing w:after="0"/>
              <w:jc w:val="left"/>
            </w:pPr>
            <w:r/>
            <w:r>
              <w:rPr>
                <w:rFonts w:ascii="Calibri" w:hAnsi="Calibri"/>
                <w:b w:val="0"/>
                <w:color w:val="1A1A1A"/>
                <w:sz w:val="24"/>
              </w:rPr>
              <w:t>A exigência de POP decorre da norma sanitária de funcionamento do serviço.</w:t>
            </w:r>
          </w:p>
        </w:tc>
        <w:tc>
          <w:tcPr>
            <w:tcW w:type="dxa" w:w="2480"/>
            <w:shd w:val="clear" w:color="auto" w:fill="F2F5F8"/>
          </w:tcPr>
          <w:p>
            <w:pPr>
              <w:spacing w:after="0"/>
              <w:jc w:val="left"/>
            </w:pPr>
            <w:r/>
            <w:r>
              <w:rPr>
                <w:rFonts w:ascii="Calibri" w:hAnsi="Calibri"/>
                <w:b w:val="0"/>
                <w:color w:val="1A1A1A"/>
                <w:sz w:val="24"/>
              </w:rPr>
              <w:t>Exigência normativa</w:t>
            </w:r>
          </w:p>
        </w:tc>
        <w:tc>
          <w:tcPr>
            <w:tcW w:type="dxa" w:w="3381"/>
            <w:shd w:val="clear" w:color="auto" w:fill="F2F5F8"/>
          </w:tcPr>
          <w:p>
            <w:pPr>
              <w:spacing w:after="0"/>
              <w:jc w:val="left"/>
            </w:pPr>
            <w:r/>
            <w:r>
              <w:rPr>
                <w:rFonts w:ascii="Calibri" w:hAnsi="Calibri"/>
                <w:b w:val="0"/>
                <w:color w:val="1A1A1A"/>
                <w:sz w:val="24"/>
              </w:rPr>
              <w:t>Manter, com citação do dispositivo e data de consulta.</w:t>
            </w:r>
          </w:p>
        </w:tc>
      </w:tr>
      <w:tr>
        <w:trPr>
          <w:cantSplit/>
        </w:trPr>
        <w:tc>
          <w:tcPr>
            <w:tcW w:type="dxa" w:w="3212"/>
          </w:tcPr>
          <w:p>
            <w:pPr>
              <w:spacing w:after="0"/>
              <w:jc w:val="left"/>
            </w:pPr>
            <w:r/>
            <w:r>
              <w:rPr>
                <w:rFonts w:ascii="Calibri" w:hAnsi="Calibri"/>
                <w:b w:val="0"/>
                <w:color w:val="1A1A1A"/>
                <w:sz w:val="24"/>
              </w:rPr>
              <w:t>Panorama epidemiológico de intercorrências em Minas Gerais.</w:t>
            </w:r>
          </w:p>
        </w:tc>
        <w:tc>
          <w:tcPr>
            <w:tcW w:type="dxa" w:w="2480"/>
          </w:tcPr>
          <w:p>
            <w:pPr>
              <w:spacing w:after="0"/>
              <w:jc w:val="left"/>
            </w:pPr>
            <w:r/>
            <w:r>
              <w:rPr>
                <w:rFonts w:ascii="Calibri" w:hAnsi="Calibri"/>
                <w:b w:val="0"/>
                <w:color w:val="1A1A1A"/>
                <w:sz w:val="24"/>
              </w:rPr>
              <w:t>Dados primários inexistentes</w:t>
            </w:r>
          </w:p>
        </w:tc>
        <w:tc>
          <w:tcPr>
            <w:tcW w:type="dxa" w:w="3381"/>
          </w:tcPr>
          <w:p>
            <w:pPr>
              <w:spacing w:after="0"/>
              <w:jc w:val="left"/>
            </w:pPr>
            <w:r/>
            <w:r>
              <w:rPr>
                <w:rFonts w:ascii="Calibri" w:hAnsi="Calibri"/>
                <w:b w:val="0"/>
                <w:color w:val="1A1A1A"/>
                <w:sz w:val="24"/>
              </w:rPr>
              <w:t>PENDENTE. Não apresentar números sem coleta ou autorização. A lacuna deve aparecer como lacuna.</w:t>
            </w:r>
          </w:p>
        </w:tc>
      </w:tr>
      <w:tr>
        <w:trPr>
          <w:cantSplit/>
        </w:trPr>
        <w:tc>
          <w:tcPr>
            <w:tcW w:type="dxa" w:w="3212"/>
            <w:shd w:val="clear" w:color="auto" w:fill="F2F5F8"/>
          </w:tcPr>
          <w:p>
            <w:pPr>
              <w:spacing w:after="0"/>
              <w:jc w:val="left"/>
            </w:pPr>
            <w:r/>
            <w:r>
              <w:rPr>
                <w:rFonts w:ascii="Calibri" w:hAnsi="Calibri"/>
                <w:b w:val="0"/>
                <w:color w:val="1A1A1A"/>
                <w:sz w:val="24"/>
              </w:rPr>
              <w:t>Situação da especialidade como fundamento de competência.</w:t>
            </w:r>
          </w:p>
        </w:tc>
        <w:tc>
          <w:tcPr>
            <w:tcW w:type="dxa" w:w="2480"/>
            <w:shd w:val="clear" w:color="auto" w:fill="F2F5F8"/>
          </w:tcPr>
          <w:p>
            <w:pPr>
              <w:spacing w:after="0"/>
              <w:jc w:val="left"/>
            </w:pPr>
            <w:r/>
            <w:r>
              <w:rPr>
                <w:rFonts w:ascii="Calibri" w:hAnsi="Calibri"/>
                <w:b w:val="0"/>
                <w:color w:val="1A1A1A"/>
                <w:sz w:val="24"/>
              </w:rPr>
              <w:t>Situação contenciosa</w:t>
            </w:r>
          </w:p>
        </w:tc>
        <w:tc>
          <w:tcPr>
            <w:tcW w:type="dxa" w:w="3381"/>
            <w:shd w:val="clear" w:color="auto" w:fill="F2F5F8"/>
          </w:tcPr>
          <w:p>
            <w:pPr>
              <w:spacing w:after="0"/>
              <w:jc w:val="left"/>
            </w:pPr>
            <w:r/>
            <w:r>
              <w:rPr>
                <w:rFonts w:ascii="Calibri" w:hAnsi="Calibri"/>
                <w:b w:val="0"/>
                <w:color w:val="1A1A1A"/>
                <w:sz w:val="24"/>
              </w:rPr>
              <w:t>Não utilizar como fundamento do pacote. Registrar o fato com data e estado processual.</w:t>
            </w:r>
          </w:p>
        </w:tc>
      </w:tr>
      <w:tr>
        <w:trPr>
          <w:cantSplit/>
        </w:trPr>
        <w:tc>
          <w:tcPr>
            <w:tcW w:type="dxa" w:w="3212"/>
          </w:tcPr>
          <w:p>
            <w:pPr>
              <w:spacing w:after="0"/>
              <w:jc w:val="left"/>
            </w:pPr>
            <w:r/>
            <w:r>
              <w:rPr>
                <w:rFonts w:ascii="Calibri" w:hAnsi="Calibri"/>
                <w:b w:val="0"/>
                <w:color w:val="1A1A1A"/>
                <w:sz w:val="24"/>
              </w:rPr>
              <w:t>Instrução categórica sobre massagem em suspeita de comprometimento vascular.</w:t>
            </w:r>
          </w:p>
        </w:tc>
        <w:tc>
          <w:tcPr>
            <w:tcW w:type="dxa" w:w="2480"/>
          </w:tcPr>
          <w:p>
            <w:pPr>
              <w:spacing w:after="0"/>
              <w:jc w:val="left"/>
            </w:pPr>
            <w:r/>
            <w:r>
              <w:rPr>
                <w:rFonts w:ascii="Calibri" w:hAnsi="Calibri"/>
                <w:b w:val="0"/>
                <w:color w:val="1A1A1A"/>
                <w:sz w:val="24"/>
              </w:rPr>
              <w:t>Conduta prescritiva sem fonte declarada</w:t>
            </w:r>
          </w:p>
        </w:tc>
        <w:tc>
          <w:tcPr>
            <w:tcW w:type="dxa" w:w="3381"/>
          </w:tcPr>
          <w:p>
            <w:pPr>
              <w:spacing w:after="0"/>
              <w:jc w:val="left"/>
            </w:pPr>
            <w:r/>
            <w:r>
              <w:rPr>
                <w:rFonts w:ascii="Calibri" w:hAnsi="Calibri"/>
                <w:b w:val="0"/>
                <w:color w:val="1A1A1A"/>
                <w:sz w:val="24"/>
              </w:rPr>
              <w:t>PENDENTE. Formulação categórica não sustentada pela literatura verificada, e divergente de protocolos correntes. Não publicar até que haja fonte declarada e deliberação do colegiado.</w:t>
            </w:r>
          </w:p>
        </w:tc>
      </w:tr>
      <w:tr>
        <w:trPr>
          <w:cantSplit/>
        </w:trPr>
        <w:tc>
          <w:tcPr>
            <w:tcW w:type="dxa" w:w="3212"/>
            <w:shd w:val="clear" w:color="auto" w:fill="F2F5F8"/>
          </w:tcPr>
          <w:p>
            <w:pPr>
              <w:spacing w:after="0"/>
              <w:jc w:val="left"/>
            </w:pPr>
            <w:r/>
            <w:r>
              <w:rPr>
                <w:rFonts w:ascii="Calibri" w:hAnsi="Calibri"/>
                <w:b w:val="0"/>
                <w:color w:val="1A1A1A"/>
                <w:sz w:val="24"/>
              </w:rPr>
              <w:t>Orientações de menor dose eficaz para produto injetável ou agente de reversão.</w:t>
            </w:r>
          </w:p>
        </w:tc>
        <w:tc>
          <w:tcPr>
            <w:tcW w:type="dxa" w:w="2480"/>
            <w:shd w:val="clear" w:color="auto" w:fill="F2F5F8"/>
          </w:tcPr>
          <w:p>
            <w:pPr>
              <w:spacing w:after="0"/>
              <w:jc w:val="left"/>
            </w:pPr>
            <w:r/>
            <w:r>
              <w:rPr>
                <w:rFonts w:ascii="Calibri" w:hAnsi="Calibri"/>
                <w:b w:val="0"/>
                <w:color w:val="1A1A1A"/>
                <w:sz w:val="24"/>
              </w:rPr>
              <w:t>Recomendação técnica sem produto definido</w:t>
            </w:r>
          </w:p>
        </w:tc>
        <w:tc>
          <w:tcPr>
            <w:tcW w:type="dxa" w:w="3381"/>
            <w:shd w:val="clear" w:color="auto" w:fill="F2F5F8"/>
          </w:tcPr>
          <w:p>
            <w:pPr>
              <w:spacing w:after="0"/>
              <w:jc w:val="left"/>
            </w:pPr>
            <w:r/>
            <w:r>
              <w:rPr>
                <w:rFonts w:ascii="Calibri" w:hAnsi="Calibri"/>
                <w:b w:val="0"/>
                <w:color w:val="1A1A1A"/>
                <w:sz w:val="24"/>
              </w:rPr>
              <w:t>Converter em campo do POP, preenchido a partir das instruções de uso do produto específico, com data de consulta. Não veicular como orientação genérica.</w:t>
            </w:r>
          </w:p>
        </w:tc>
      </w:tr>
      <w:tr>
        <w:trPr>
          <w:cantSplit/>
        </w:trPr>
        <w:tc>
          <w:tcPr>
            <w:tcW w:type="dxa" w:w="3212"/>
          </w:tcPr>
          <w:p>
            <w:pPr>
              <w:spacing w:after="0"/>
              <w:jc w:val="left"/>
            </w:pPr>
            <w:r/>
            <w:r>
              <w:rPr>
                <w:rFonts w:ascii="Calibri" w:hAnsi="Calibri"/>
                <w:b w:val="0"/>
                <w:color w:val="1A1A1A"/>
                <w:sz w:val="24"/>
              </w:rPr>
              <w:t>Emissão de laudo de imagem com descrição de achados e conclusão.</w:t>
            </w:r>
          </w:p>
        </w:tc>
        <w:tc>
          <w:tcPr>
            <w:tcW w:type="dxa" w:w="2480"/>
          </w:tcPr>
          <w:p>
            <w:pPr>
              <w:spacing w:after="0"/>
              <w:jc w:val="left"/>
            </w:pPr>
            <w:r/>
            <w:r>
              <w:rPr>
                <w:rFonts w:ascii="Calibri" w:hAnsi="Calibri"/>
                <w:b w:val="0"/>
                <w:color w:val="1A1A1A"/>
                <w:sz w:val="24"/>
              </w:rPr>
              <w:t>Escopo profissional sob discussão judicial</w:t>
            </w:r>
          </w:p>
        </w:tc>
        <w:tc>
          <w:tcPr>
            <w:tcW w:type="dxa" w:w="3381"/>
          </w:tcPr>
          <w:p>
            <w:pPr>
              <w:spacing w:after="0"/>
              <w:jc w:val="left"/>
            </w:pPr>
            <w:r/>
            <w:r>
              <w:rPr>
                <w:rFonts w:ascii="Calibri" w:hAnsi="Calibri"/>
                <w:b w:val="0"/>
                <w:color w:val="1A1A1A"/>
                <w:sz w:val="24"/>
              </w:rPr>
              <w:t>PENDENTE. Não produzir documento com marca institucional sobre esta matéria enquanto não houver manifestação institucional.</w:t>
            </w:r>
          </w:p>
        </w:tc>
      </w:tr>
    </w:tbl>
    <w:p>
      <w:pPr>
        <w:keepNext/>
        <w:spacing w:before="360" w:after="160"/>
        <w:jc w:val="left"/>
        <w:pBdr>
          <w:bottom w:val="single" w:sz="8" w:space="4" w:color="143C64"/>
        </w:pBdr>
      </w:pPr>
      <w:r>
        <w:rPr>
          <w:rFonts w:ascii="Calibri" w:hAnsi="Calibri"/>
          <w:b/>
          <w:color w:val="143C64"/>
          <w:sz w:val="30"/>
        </w:rPr>
        <w:t>6  Registro da situação contenciosa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pPr>
        <w:keepNext/>
        <w:spacing w:before="360" w:after="160"/>
        <w:jc w:val="left"/>
        <w:pBdr>
          <w:bottom w:val="single" w:sz="8" w:space="4" w:color="143C64"/>
        </w:pBdr>
      </w:pPr>
      <w:r>
        <w:rPr>
          <w:rFonts w:ascii="Calibri" w:hAnsi="Calibri"/>
          <w:b/>
          <w:color w:val="143C64"/>
          <w:sz w:val="30"/>
        </w:rPr>
        <w:t>7  Regras de atualização</w:t>
      </w:r>
    </w:p>
    <w:p>
      <w:pPr>
        <w:pStyle w:val="ListNumber"/>
        <w:spacing w:after="60"/>
        <w:ind w:left="397"/>
        <w:jc w:val="both"/>
      </w:pPr>
      <w:r>
        <w:rPr>
          <w:rFonts w:ascii="Calibri" w:hAnsi="Calibri"/>
          <w:color w:val="1A1A1A"/>
          <w:sz w:val="24"/>
        </w:rPr>
        <w:t>Registrar a data de consulta de cada base oficial e de cada referência científica.</w:t>
      </w:r>
    </w:p>
    <w:p>
      <w:pPr>
        <w:pStyle w:val="ListNumber"/>
        <w:spacing w:after="60"/>
        <w:ind w:left="397"/>
        <w:jc w:val="both"/>
      </w:pPr>
      <w:r>
        <w:rPr>
          <w:rFonts w:ascii="Calibri" w:hAnsi="Calibri"/>
          <w:color w:val="1A1A1A"/>
          <w:sz w:val="24"/>
        </w:rPr>
        <w:t>Substituir normas revogadas por atos vigentes, preservando o histórico de versão.</w:t>
      </w:r>
    </w:p>
    <w:p>
      <w:pPr>
        <w:pStyle w:val="ListNumber"/>
        <w:spacing w:after="60"/>
        <w:ind w:left="397"/>
        <w:jc w:val="both"/>
      </w:pPr>
      <w:r>
        <w:rPr>
          <w:rFonts w:ascii="Calibri" w:hAnsi="Calibri"/>
          <w:color w:val="1A1A1A"/>
          <w:sz w:val="24"/>
        </w:rPr>
        <w:t>Descrever desenho e limitações de cada estudo citado, evitando extrapolação.</w:t>
      </w:r>
    </w:p>
    <w:p>
      <w:pPr>
        <w:pStyle w:val="ListNumber"/>
        <w:spacing w:after="60"/>
        <w:ind w:left="397"/>
        <w:jc w:val="both"/>
      </w:pPr>
      <w:r>
        <w:rPr>
          <w:rFonts w:ascii="Calibri" w:hAnsi="Calibri"/>
          <w:color w:val="1A1A1A"/>
          <w:sz w:val="24"/>
        </w:rPr>
        <w:t>Revisar esta matriz antes de qualquer nova versão do pacote, e não depois.</w:t>
      </w:r>
    </w:p>
    <w:p>
      <w:pPr>
        <w:pStyle w:val="ListNumber"/>
        <w:spacing w:after="60"/>
        <w:ind w:left="397"/>
        <w:jc w:val="both"/>
      </w:pPr>
      <w:r>
        <w:rPr>
          <w:rFonts w:ascii="Calibri" w:hAnsi="Calibri"/>
          <w:color w:val="1A1A1A"/>
          <w:sz w:val="24"/>
        </w:rPr>
        <w:t>Toda lacuna deve aparecer como lacuna, jamais como ausência de risco.</w:t>
      </w:r>
    </w:p>
    <w:p>
      <w:pPr>
        <w:pStyle w:val="ListNumber"/>
        <w:spacing w:after="60"/>
        <w:ind w:left="397"/>
        <w:jc w:val="both"/>
      </w:pPr>
      <w:r>
        <w:rPr>
          <w:rFonts w:ascii="Calibri" w:hAnsi="Calibri"/>
          <w:color w:val="1A1A1A"/>
          <w:sz w:val="24"/>
        </w:rPr>
        <w:t>Nenhuma referência entra no pacote sem verificação individual de identificador.</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6"/>
        <w:gridCol w:w="2363"/>
        <w:gridCol w:w="3163"/>
      </w:tblGrid>
      <w:tr>
        <w:trPr>
          <w:cantSplit/>
          <w:tblHeader/>
        </w:trPr>
        <w:tc>
          <w:tcPr>
            <w:tcW w:type="dxa" w:w="3546"/>
            <w:shd w:val="clear" w:color="auto" w:fill="143C64"/>
          </w:tcPr>
          <w:p>
            <w:pPr>
              <w:spacing w:after="0"/>
              <w:jc w:val="left"/>
            </w:pPr>
            <w:r/>
            <w:r>
              <w:rPr>
                <w:rFonts w:ascii="Calibri" w:hAnsi="Calibri"/>
                <w:b/>
                <w:color w:val="FFFFFF"/>
                <w:sz w:val="24"/>
              </w:rPr>
              <w:t>Referência</w:t>
            </w:r>
          </w:p>
        </w:tc>
        <w:tc>
          <w:tcPr>
            <w:tcW w:type="dxa" w:w="2363"/>
            <w:shd w:val="clear" w:color="auto" w:fill="143C64"/>
          </w:tcPr>
          <w:p>
            <w:pPr>
              <w:spacing w:after="0"/>
              <w:jc w:val="left"/>
            </w:pPr>
            <w:r/>
            <w:r>
              <w:rPr>
                <w:rFonts w:ascii="Calibri" w:hAnsi="Calibri"/>
                <w:b/>
                <w:color w:val="FFFFFF"/>
                <w:sz w:val="24"/>
              </w:rPr>
              <w:t>Desenho</w:t>
            </w:r>
          </w:p>
        </w:tc>
        <w:tc>
          <w:tcPr>
            <w:tcW w:type="dxa" w:w="3163"/>
            <w:shd w:val="clear" w:color="auto" w:fill="143C64"/>
          </w:tcPr>
          <w:p>
            <w:pPr>
              <w:spacing w:after="0"/>
              <w:jc w:val="left"/>
            </w:pPr>
            <w:r/>
            <w:r>
              <w:rPr>
                <w:rFonts w:ascii="Calibri" w:hAnsi="Calibri"/>
                <w:b/>
                <w:color w:val="FFFFFF"/>
                <w:sz w:val="24"/>
              </w:rPr>
              <w:t>Identificadores e verificação</w:t>
            </w:r>
          </w:p>
        </w:tc>
      </w:tr>
      <w:tr>
        <w:trPr>
          <w:cantSplit/>
        </w:trPr>
        <w:tc>
          <w:tcPr>
            <w:tcW w:type="dxa" w:w="3546"/>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63"/>
          </w:tcPr>
          <w:p>
            <w:pPr>
              <w:spacing w:after="0"/>
              <w:jc w:val="left"/>
            </w:pPr>
            <w:r/>
            <w:r>
              <w:rPr>
                <w:rFonts w:ascii="Calibri" w:hAnsi="Calibri"/>
                <w:b w:val="0"/>
                <w:color w:val="1A1A1A"/>
                <w:sz w:val="24"/>
              </w:rPr>
              <w:t>Revisão sistemática</w:t>
            </w:r>
          </w:p>
        </w:tc>
        <w:tc>
          <w:tcPr>
            <w:tcW w:type="dxa" w:w="316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63"/>
            <w:shd w:val="clear" w:color="auto" w:fill="F2F5F8"/>
          </w:tcPr>
          <w:p>
            <w:pPr>
              <w:spacing w:after="0"/>
              <w:jc w:val="left"/>
            </w:pPr>
            <w:r/>
            <w:r>
              <w:rPr>
                <w:rFonts w:ascii="Calibri" w:hAnsi="Calibri"/>
                <w:b w:val="0"/>
                <w:color w:val="1A1A1A"/>
                <w:sz w:val="24"/>
              </w:rPr>
              <w:t>Revisão (35 artigos, PRISMA 2020)</w:t>
            </w:r>
          </w:p>
        </w:tc>
        <w:tc>
          <w:tcPr>
            <w:tcW w:type="dxa" w:w="316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63"/>
          </w:tcPr>
          <w:p>
            <w:pPr>
              <w:spacing w:after="0"/>
              <w:jc w:val="left"/>
            </w:pPr>
            <w:r/>
            <w:r>
              <w:rPr>
                <w:rFonts w:ascii="Calibri" w:hAnsi="Calibri"/>
                <w:b w:val="0"/>
                <w:color w:val="1A1A1A"/>
                <w:sz w:val="24"/>
              </w:rPr>
              <w:t>Revisão</w:t>
            </w:r>
          </w:p>
        </w:tc>
        <w:tc>
          <w:tcPr>
            <w:tcW w:type="dxa" w:w="316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63"/>
            <w:shd w:val="clear" w:color="auto" w:fill="F2F5F8"/>
          </w:tcPr>
          <w:p>
            <w:pPr>
              <w:spacing w:after="0"/>
              <w:jc w:val="left"/>
            </w:pPr>
            <w:r/>
            <w:r>
              <w:rPr>
                <w:rFonts w:ascii="Calibri" w:hAnsi="Calibri"/>
                <w:b w:val="0"/>
                <w:color w:val="1A1A1A"/>
                <w:sz w:val="24"/>
              </w:rPr>
              <w:t>Estudo transversal, 57 participantes</w:t>
            </w:r>
          </w:p>
        </w:tc>
        <w:tc>
          <w:tcPr>
            <w:tcW w:type="dxa" w:w="316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63"/>
          </w:tcPr>
          <w:p>
            <w:pPr>
              <w:spacing w:after="0"/>
              <w:jc w:val="left"/>
            </w:pPr>
            <w:r/>
            <w:r>
              <w:rPr>
                <w:rFonts w:ascii="Calibri" w:hAnsi="Calibri"/>
                <w:b w:val="0"/>
                <w:color w:val="1A1A1A"/>
                <w:sz w:val="24"/>
              </w:rPr>
              <w:t>Revisão sistemática (29 de 1.832 registros)</w:t>
            </w:r>
          </w:p>
        </w:tc>
        <w:tc>
          <w:tcPr>
            <w:tcW w:type="dxa" w:w="316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N5-EVID-01 · Matriz de Evidências e Referências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N5-EVID-01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