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360" w:after="160"/>
        <w:jc w:val="left"/>
        <w:pBdr>
          <w:bottom w:val="single" w:sz="8" w:space="4" w:color="143C64"/>
        </w:pBdr>
      </w:pPr>
      <w:r>
        <w:rPr>
          <w:rFonts w:ascii="Calibri" w:hAnsi="Calibri"/>
          <w:b/>
          <w:color w:val="143C64"/>
          <w:sz w:val="30"/>
        </w:rPr>
        <w:t>POP-N5-02  Aplicação de preenchedor injetável</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407"/>
        <w:gridCol w:w="5665"/>
      </w:tblGrid>
      <w:tr>
        <w:trPr>
          <w:cantSplit/>
          <w:tblHeader/>
        </w:trPr>
        <w:tc>
          <w:tcPr>
            <w:tcW w:type="dxa" w:w="3407"/>
            <w:shd w:val="clear" w:color="auto" w:fill="143C64"/>
          </w:tcPr>
          <w:p>
            <w:pPr>
              <w:spacing w:after="0"/>
              <w:jc w:val="left"/>
            </w:pPr>
            <w:r/>
            <w:r>
              <w:rPr>
                <w:rFonts w:ascii="Calibri" w:hAnsi="Calibri"/>
                <w:b/>
                <w:color w:val="FFFFFF"/>
                <w:sz w:val="24"/>
              </w:rPr>
              <w:t>Campo</w:t>
            </w:r>
          </w:p>
        </w:tc>
        <w:tc>
          <w:tcPr>
            <w:tcW w:type="dxa" w:w="5665"/>
            <w:shd w:val="clear" w:color="auto" w:fill="143C64"/>
          </w:tcPr>
          <w:p>
            <w:pPr>
              <w:spacing w:after="0"/>
              <w:jc w:val="left"/>
            </w:pPr>
            <w:r/>
            <w:r>
              <w:rPr>
                <w:rFonts w:ascii="Calibri" w:hAnsi="Calibri"/>
                <w:b/>
                <w:color w:val="FFFFFF"/>
                <w:sz w:val="24"/>
              </w:rPr>
              <w:t>Conteúdo</w:t>
            </w:r>
          </w:p>
        </w:tc>
      </w:tr>
      <w:tr>
        <w:trPr>
          <w:cantSplit/>
        </w:trPr>
        <w:tc>
          <w:tcPr>
            <w:tcW w:type="dxa" w:w="3407"/>
          </w:tcPr>
          <w:p>
            <w:pPr>
              <w:spacing w:after="0"/>
              <w:jc w:val="left"/>
            </w:pPr>
            <w:r/>
            <w:r>
              <w:rPr>
                <w:rFonts w:ascii="Calibri" w:hAnsi="Calibri"/>
                <w:b/>
                <w:color w:val="1A1A1A"/>
                <w:sz w:val="24"/>
              </w:rPr>
              <w:t>1. Identificação</w:t>
            </w:r>
          </w:p>
        </w:tc>
        <w:tc>
          <w:tcPr>
            <w:tcW w:type="dxa" w:w="5665"/>
          </w:tcPr>
          <w:p>
            <w:pPr>
              <w:spacing w:after="0"/>
              <w:jc w:val="left"/>
            </w:pPr>
            <w:r/>
            <w:r>
              <w:rPr>
                <w:rFonts w:ascii="Calibri" w:hAnsi="Calibri"/>
                <w:b w:val="0"/>
                <w:color w:val="1A1A1A"/>
                <w:sz w:val="24"/>
              </w:rPr>
              <w:t>Código POP-N5-02. Versão 1.0. Emissão em 26 de agosto de 2026. Próxima revisão em até doze meses. Onda de produção 1. Situação de escopo: Livre. Responsável técnico pela redação: Campo de preenchimento pelo serviço.</w:t>
            </w:r>
          </w:p>
        </w:tc>
      </w:tr>
      <w:tr>
        <w:trPr>
          <w:cantSplit/>
        </w:trPr>
        <w:tc>
          <w:tcPr>
            <w:tcW w:type="dxa" w:w="3407"/>
            <w:shd w:val="clear" w:color="auto" w:fill="F2F5F8"/>
          </w:tcPr>
          <w:p>
            <w:pPr>
              <w:spacing w:after="0"/>
              <w:jc w:val="left"/>
            </w:pPr>
            <w:r/>
            <w:r>
              <w:rPr>
                <w:rFonts w:ascii="Calibri" w:hAnsi="Calibri"/>
                <w:b/>
                <w:color w:val="1A1A1A"/>
                <w:sz w:val="24"/>
              </w:rPr>
              <w:t>2. Objetivo e alcance</w:t>
            </w:r>
          </w:p>
        </w:tc>
        <w:tc>
          <w:tcPr>
            <w:tcW w:type="dxa" w:w="5665"/>
            <w:shd w:val="clear" w:color="auto" w:fill="F2F5F8"/>
          </w:tcPr>
          <w:p>
            <w:pPr>
              <w:spacing w:after="0"/>
              <w:jc w:val="left"/>
            </w:pPr>
            <w:r/>
            <w:r>
              <w:rPr>
                <w:rFonts w:ascii="Calibri" w:hAnsi="Calibri"/>
                <w:b w:val="0"/>
                <w:color w:val="1A1A1A"/>
                <w:sz w:val="24"/>
              </w:rPr>
              <w:t>Padronizar o processo de aplicação de preenchedor injetável, da verificação prévia ao acompanhamento, com ênfase em rastreabilidade e em reconhecimento precoce de comprometimento vascular. Não define volume, plano anatômico nem técnica de aplicação, que dependem do produto escolhido, das instruções de uso e do julgamento clínico.</w:t>
            </w:r>
          </w:p>
        </w:tc>
      </w:tr>
      <w:tr>
        <w:trPr>
          <w:cantSplit/>
        </w:trPr>
        <w:tc>
          <w:tcPr>
            <w:tcW w:type="dxa" w:w="3407"/>
          </w:tcPr>
          <w:p>
            <w:pPr>
              <w:spacing w:after="0"/>
              <w:jc w:val="left"/>
            </w:pPr>
            <w:r/>
            <w:r>
              <w:rPr>
                <w:rFonts w:ascii="Calibri" w:hAnsi="Calibri"/>
                <w:b/>
                <w:color w:val="1A1A1A"/>
                <w:sz w:val="24"/>
              </w:rPr>
              <w:t>3. Situação regulatória</w:t>
            </w:r>
          </w:p>
        </w:tc>
        <w:tc>
          <w:tcPr>
            <w:tcW w:type="dxa" w:w="5665"/>
          </w:tcPr>
          <w:p>
            <w:pPr>
              <w:spacing w:after="0"/>
              <w:jc w:val="left"/>
            </w:pPr>
            <w:r/>
            <w:r>
              <w:rPr>
                <w:rFonts w:ascii="Calibri" w:hAnsi="Calibri"/>
                <w:b w:val="0"/>
                <w:color w:val="1A1A1A"/>
                <w:sz w:val="24"/>
              </w:rPr>
              <w:t>Produto regularizado na Anvisa, com finalidade aprovada compatível com a região e a indicação pretendidas. Registrar número, situação, classe de risco, finalidade aprovada, data da consulta e responsável pela verificação. Uso fora da indicação aprovada exige o tratamento previsto no Manual de Boas Práticas, com justificativa, informação específica ao paciente e registro reforçado.</w:t>
            </w:r>
          </w:p>
        </w:tc>
      </w:tr>
      <w:tr>
        <w:trPr>
          <w:cantSplit/>
        </w:trPr>
        <w:tc>
          <w:tcPr>
            <w:tcW w:type="dxa" w:w="3407"/>
            <w:shd w:val="clear" w:color="auto" w:fill="F2F5F8"/>
          </w:tcPr>
          <w:p>
            <w:pPr>
              <w:spacing w:after="0"/>
              <w:jc w:val="left"/>
            </w:pPr>
            <w:r/>
            <w:r>
              <w:rPr>
                <w:rFonts w:ascii="Calibri" w:hAnsi="Calibri"/>
                <w:b/>
                <w:color w:val="1A1A1A"/>
                <w:sz w:val="24"/>
              </w:rPr>
              <w:t>4. Competência exigida</w:t>
            </w:r>
          </w:p>
        </w:tc>
        <w:tc>
          <w:tcPr>
            <w:tcW w:type="dxa" w:w="5665"/>
            <w:shd w:val="clear" w:color="auto" w:fill="F2F5F8"/>
          </w:tcPr>
          <w:p>
            <w:pPr>
              <w:spacing w:after="0"/>
              <w:jc w:val="left"/>
            </w:pPr>
            <w:r/>
            <w:r>
              <w:rPr>
                <w:rFonts w:ascii="Calibri" w:hAnsi="Calibri"/>
                <w:b w:val="0"/>
                <w:color w:val="1A1A1A"/>
                <w:sz w:val="24"/>
              </w:rPr>
              <w:t>Cirurgião-dentista habilitado, com capacitação registrada para a técnica e para o manejo das intercorrências previsíveis, incluindo o POP-N5-05 e o POP-N5-06.</w:t>
            </w:r>
          </w:p>
        </w:tc>
      </w:tr>
      <w:tr>
        <w:trPr>
          <w:cantSplit/>
        </w:trPr>
        <w:tc>
          <w:tcPr>
            <w:tcW w:type="dxa" w:w="3407"/>
          </w:tcPr>
          <w:p>
            <w:pPr>
              <w:spacing w:after="0"/>
              <w:jc w:val="left"/>
            </w:pPr>
            <w:r/>
            <w:r>
              <w:rPr>
                <w:rFonts w:ascii="Calibri" w:hAnsi="Calibri"/>
                <w:b/>
                <w:color w:val="1A1A1A"/>
                <w:sz w:val="24"/>
              </w:rPr>
              <w:t>5. Materiais e equipamentos</w:t>
            </w:r>
          </w:p>
        </w:tc>
        <w:tc>
          <w:tcPr>
            <w:tcW w:type="dxa" w:w="5665"/>
          </w:tcPr>
          <w:p>
            <w:pPr>
              <w:spacing w:after="0"/>
              <w:jc w:val="left"/>
            </w:pPr>
            <w:r/>
            <w:r>
              <w:rPr>
                <w:rFonts w:ascii="Calibri" w:hAnsi="Calibri"/>
                <w:b w:val="0"/>
                <w:color w:val="1A1A1A"/>
                <w:sz w:val="24"/>
              </w:rPr>
              <w:t>Produto regularizado dentro da validade; material de antissepsia; agulhas ou cânulas conforme instrução de uso; equipamento de proteção individual; recursos de resposta a intercorrência conferidos conforme o POP-N5-09; prontuário e etiqueta ou registro de lote.</w:t>
            </w:r>
          </w:p>
        </w:tc>
      </w:tr>
    </w:tbl>
    <w:p>
      <w:pPr>
        <w:keepNext/>
        <w:spacing w:before="240" w:after="80"/>
        <w:jc w:val="left"/>
      </w:pPr>
      <w:r>
        <w:rPr>
          <w:rFonts w:ascii="Calibri" w:hAnsi="Calibri"/>
          <w:b/>
          <w:color w:val="143C64"/>
          <w:sz w:val="26"/>
        </w:rPr>
        <w:t>6. Verificações prévias</w:t>
      </w:r>
    </w:p>
    <w:p>
      <w:pPr>
        <w:pStyle w:val="ListBullet"/>
        <w:spacing w:after="60"/>
        <w:ind w:left="397"/>
        <w:jc w:val="both"/>
      </w:pPr>
      <w:r>
        <w:rPr>
          <w:rFonts w:ascii="Calibri" w:hAnsi="Calibri"/>
          <w:color w:val="1A1A1A"/>
          <w:sz w:val="24"/>
        </w:rPr>
        <w:t>☐  Consentimento específico assinado para este procedimento e para esta sessão.</w:t>
      </w:r>
    </w:p>
    <w:p>
      <w:pPr>
        <w:pStyle w:val="ListBullet"/>
        <w:spacing w:after="60"/>
        <w:ind w:left="397"/>
        <w:jc w:val="both"/>
      </w:pPr>
      <w:r>
        <w:rPr>
          <w:rFonts w:ascii="Calibri" w:hAnsi="Calibri"/>
          <w:color w:val="1A1A1A"/>
          <w:sz w:val="24"/>
        </w:rPr>
        <w:t>☐  Plano de tratamento vigente e compatível com a indicação registrada.</w:t>
      </w:r>
    </w:p>
    <w:p>
      <w:pPr>
        <w:pStyle w:val="ListBullet"/>
        <w:spacing w:after="60"/>
        <w:ind w:left="397"/>
        <w:jc w:val="both"/>
      </w:pPr>
      <w:r>
        <w:rPr>
          <w:rFonts w:ascii="Calibri" w:hAnsi="Calibri"/>
          <w:color w:val="1A1A1A"/>
          <w:sz w:val="24"/>
        </w:rPr>
        <w:t>☐  Contraindicações reavaliadas na data, incluindo infecção ativa e alteração de medicação.</w:t>
      </w:r>
    </w:p>
    <w:p>
      <w:pPr>
        <w:pStyle w:val="ListBullet"/>
        <w:spacing w:after="60"/>
        <w:ind w:left="397"/>
        <w:jc w:val="both"/>
      </w:pPr>
      <w:r>
        <w:rPr>
          <w:rFonts w:ascii="Calibri" w:hAnsi="Calibri"/>
          <w:color w:val="1A1A1A"/>
          <w:sz w:val="24"/>
        </w:rPr>
        <w:t>☐  Produto conferido: identificação, integridade da embalagem, lote e validade.</w:t>
      </w:r>
    </w:p>
    <w:p>
      <w:pPr>
        <w:pStyle w:val="ListBullet"/>
        <w:spacing w:after="60"/>
        <w:ind w:left="397"/>
        <w:jc w:val="both"/>
      </w:pPr>
      <w:r>
        <w:rPr>
          <w:rFonts w:ascii="Calibri" w:hAnsi="Calibri"/>
          <w:color w:val="1A1A1A"/>
          <w:sz w:val="24"/>
        </w:rPr>
        <w:t>☐  Recursos de resposta a intercorrência disponíveis, acessíveis e dentro da validade.</w:t>
      </w:r>
    </w:p>
    <w:p>
      <w:pPr>
        <w:pStyle w:val="ListBullet"/>
        <w:spacing w:after="60"/>
        <w:ind w:left="397"/>
        <w:jc w:val="both"/>
      </w:pPr>
      <w:r>
        <w:rPr>
          <w:rFonts w:ascii="Calibri" w:hAnsi="Calibri"/>
          <w:color w:val="1A1A1A"/>
          <w:sz w:val="24"/>
        </w:rPr>
        <w:t>☐  Rota de encaminhamento de urgência, inclusive oftalmológica e neurológica, acessível.</w:t>
      </w:r>
    </w:p>
    <w:p>
      <w:pPr>
        <w:keepNext/>
        <w:spacing w:before="240" w:after="80"/>
        <w:jc w:val="left"/>
      </w:pPr>
      <w:r>
        <w:rPr>
          <w:rFonts w:ascii="Calibri" w:hAnsi="Calibri"/>
          <w:b/>
          <w:color w:val="143C64"/>
          <w:sz w:val="26"/>
        </w:rPr>
        <w:t>7. Execução</w:t>
      </w:r>
    </w:p>
    <w:p>
      <w:pPr>
        <w:pStyle w:val="ListNumber"/>
        <w:spacing w:after="60"/>
        <w:ind w:left="397"/>
        <w:jc w:val="both"/>
      </w:pPr>
      <w:r>
        <w:rPr>
          <w:rFonts w:ascii="Calibri" w:hAnsi="Calibri"/>
          <w:color w:val="1A1A1A"/>
          <w:sz w:val="24"/>
        </w:rPr>
        <w:t>Realizar a pausa de segurança prevista no Checklist, confirmando paciente, procedimento, região e lado em voz alta.</w:t>
      </w:r>
    </w:p>
    <w:p>
      <w:pPr>
        <w:pStyle w:val="ListNumber"/>
        <w:spacing w:after="60"/>
        <w:ind w:left="397"/>
        <w:jc w:val="both"/>
      </w:pPr>
      <w:r>
        <w:rPr>
          <w:rFonts w:ascii="Calibri" w:hAnsi="Calibri"/>
          <w:color w:val="1A1A1A"/>
          <w:sz w:val="24"/>
        </w:rPr>
        <w:t>Realizar antissepsia da região conforme rotina do serviço.</w:t>
      </w:r>
    </w:p>
    <w:p>
      <w:pPr>
        <w:pStyle w:val="ListNumber"/>
        <w:spacing w:after="60"/>
        <w:ind w:left="397"/>
        <w:jc w:val="both"/>
      </w:pPr>
      <w:r>
        <w:rPr>
          <w:rFonts w:ascii="Calibri" w:hAnsi="Calibri"/>
          <w:color w:val="1A1A1A"/>
          <w:sz w:val="24"/>
        </w:rPr>
        <w:t>Aplicar o produto segundo as instruções de uso do fabricante e o planejamento, observando os parâmetros registrados no campo de preenchimento do serviço.</w:t>
      </w:r>
    </w:p>
    <w:p>
      <w:pPr>
        <w:pStyle w:val="ListNumber"/>
        <w:spacing w:after="60"/>
        <w:ind w:left="397"/>
        <w:jc w:val="both"/>
      </w:pPr>
      <w:r>
        <w:rPr>
          <w:rFonts w:ascii="Calibri" w:hAnsi="Calibri"/>
          <w:color w:val="1A1A1A"/>
          <w:sz w:val="24"/>
        </w:rPr>
        <w:t>Manter comunicação ativa com o paciente durante a aplicação, perguntando sobre dor desproporcional e alteração visual.</w:t>
      </w:r>
    </w:p>
    <w:p>
      <w:pPr>
        <w:pStyle w:val="ListNumber"/>
        <w:spacing w:after="60"/>
        <w:ind w:left="397"/>
        <w:jc w:val="both"/>
      </w:pPr>
      <w:r>
        <w:rPr>
          <w:rFonts w:ascii="Calibri" w:hAnsi="Calibri"/>
          <w:color w:val="1A1A1A"/>
          <w:sz w:val="24"/>
        </w:rPr>
        <w:t>Observar continuamente cor, perfusão e enchimento capilar da região e do território vascular correspondente.</w:t>
      </w:r>
    </w:p>
    <w:p>
      <w:pPr>
        <w:pStyle w:val="ListNumber"/>
        <w:spacing w:after="60"/>
        <w:ind w:left="397"/>
        <w:jc w:val="both"/>
      </w:pPr>
      <w:r>
        <w:rPr>
          <w:rFonts w:ascii="Calibri" w:hAnsi="Calibri"/>
          <w:color w:val="1A1A1A"/>
          <w:sz w:val="24"/>
        </w:rPr>
        <w:t>Interromper imediatamente diante de qualquer sinal de alerta e registrar o horário.</w:t>
      </w:r>
    </w:p>
    <w:p>
      <w:pPr>
        <w:spacing w:after="120"/>
        <w:jc w:val="both"/>
      </w:pPr>
      <w:r>
        <w:rPr>
          <w:rFonts w:ascii="Calibri" w:hAnsi="Calibri"/>
          <w:b w:val="0"/>
          <w:i/>
          <w:color w:val="1A1A1A"/>
          <w:sz w:val="24"/>
        </w:rPr>
        <w:t>Parâmetros dependentes do produto ou do equipamento, incluindo dose, volume, diluição, energia e tempo de aplicação: Campo de preenchimento pelo serviço. O preenchimento deve partir das instruções de uso do fabricante, com data de consulta registrada. Este POP não fixa esses valores porque eles dependem do produto que o serviço efetivamente adotar.</w:t>
      </w:r>
    </w:p>
    <w:p>
      <w:pPr>
        <w:keepNext/>
        <w:spacing w:before="240" w:after="80"/>
        <w:jc w:val="left"/>
      </w:pPr>
      <w:r>
        <w:rPr>
          <w:rFonts w:ascii="Calibri" w:hAnsi="Calibri"/>
          <w:b/>
          <w:color w:val="143C64"/>
          <w:sz w:val="26"/>
        </w:rPr>
        <w:t>8. Sinais de alerta</w:t>
      </w:r>
    </w:p>
    <w:p>
      <w:pPr>
        <w:pStyle w:val="ListBullet"/>
        <w:spacing w:after="60"/>
        <w:ind w:left="397"/>
        <w:jc w:val="both"/>
      </w:pPr>
      <w:r>
        <w:rPr>
          <w:rFonts w:ascii="Calibri" w:hAnsi="Calibri"/>
          <w:color w:val="1A1A1A"/>
          <w:sz w:val="24"/>
        </w:rPr>
        <w:t>Dor desproporcional ao procedimento.</w:t>
      </w:r>
    </w:p>
    <w:p>
      <w:pPr>
        <w:pStyle w:val="ListBullet"/>
        <w:spacing w:after="60"/>
        <w:ind w:left="397"/>
        <w:jc w:val="both"/>
      </w:pPr>
      <w:r>
        <w:rPr>
          <w:rFonts w:ascii="Calibri" w:hAnsi="Calibri"/>
          <w:color w:val="1A1A1A"/>
          <w:sz w:val="24"/>
        </w:rPr>
        <w:t>Palidez, livedo reticular ou alteração progressiva de cor e perfusão.</w:t>
      </w:r>
    </w:p>
    <w:p>
      <w:pPr>
        <w:pStyle w:val="ListBullet"/>
        <w:spacing w:after="60"/>
        <w:ind w:left="397"/>
        <w:jc w:val="both"/>
      </w:pPr>
      <w:r>
        <w:rPr>
          <w:rFonts w:ascii="Calibri" w:hAnsi="Calibri"/>
          <w:color w:val="1A1A1A"/>
          <w:sz w:val="24"/>
        </w:rPr>
        <w:t>Dor ocular, alteração ou perda visual, ptose ou oftalmoplegia.</w:t>
      </w:r>
    </w:p>
    <w:p>
      <w:pPr>
        <w:pStyle w:val="ListBullet"/>
        <w:spacing w:after="60"/>
        <w:ind w:left="397"/>
        <w:jc w:val="both"/>
      </w:pPr>
      <w:r>
        <w:rPr>
          <w:rFonts w:ascii="Calibri" w:hAnsi="Calibri"/>
          <w:color w:val="1A1A1A"/>
          <w:sz w:val="24"/>
        </w:rPr>
        <w:t>Déficit neurológico ou sintoma de instalação abrupta.</w:t>
      </w:r>
    </w:p>
    <w:p>
      <w:pPr>
        <w:pStyle w:val="ListBullet"/>
        <w:spacing w:after="60"/>
        <w:ind w:left="397"/>
        <w:jc w:val="both"/>
      </w:pPr>
      <w:r>
        <w:rPr>
          <w:rFonts w:ascii="Calibri" w:hAnsi="Calibri"/>
          <w:color w:val="1A1A1A"/>
          <w:sz w:val="24"/>
        </w:rPr>
        <w:t>Resistência anormal à injeção ou dificuldade inesperada de progressão.</w:t>
      </w:r>
    </w:p>
    <w:p>
      <w:pPr>
        <w:keepNext/>
        <w:spacing w:before="240" w:after="80"/>
        <w:jc w:val="left"/>
      </w:pPr>
      <w:r>
        <w:rPr>
          <w:rFonts w:ascii="Calibri" w:hAnsi="Calibri"/>
          <w:b/>
          <w:color w:val="143C64"/>
          <w:sz w:val="26"/>
        </w:rPr>
        <w:t>9. Conduta em intercorrência</w:t>
      </w:r>
    </w:p>
    <w:p>
      <w:pPr>
        <w:spacing w:after="120"/>
        <w:jc w:val="both"/>
      </w:pPr>
      <w:r>
        <w:rPr>
          <w:rFonts w:ascii="Calibri" w:hAnsi="Calibri"/>
          <w:b w:val="0"/>
          <w:i w:val="0"/>
          <w:color w:val="1A1A1A"/>
          <w:sz w:val="24"/>
        </w:rPr>
        <w:t>Interromper, registrar o horário e aplicar o POP-N5-05 em suspeita de comprometimento vascular cutâneo, ou acionar encaminhamento de urgência imediato diante de ameaça visual ou neurológica, sem aguardar exame complementar. Reação sistêmica segue o POP-N5-10.</w:t>
      </w:r>
    </w:p>
    <w:p>
      <w:pPr>
        <w:keepNext/>
        <w:spacing w:before="240" w:after="80"/>
        <w:jc w:val="left"/>
      </w:pPr>
      <w:r>
        <w:rPr>
          <w:rFonts w:ascii="Calibri" w:hAnsi="Calibri"/>
          <w:b/>
          <w:color w:val="143C64"/>
          <w:sz w:val="26"/>
        </w:rPr>
        <w:t>10. Registro obrigatório</w:t>
      </w:r>
    </w:p>
    <w:p>
      <w:pPr>
        <w:pStyle w:val="ListBullet"/>
        <w:spacing w:after="60"/>
        <w:ind w:left="397"/>
        <w:jc w:val="both"/>
      </w:pPr>
      <w:r>
        <w:rPr>
          <w:rFonts w:ascii="Calibri" w:hAnsi="Calibri"/>
          <w:color w:val="1A1A1A"/>
          <w:sz w:val="24"/>
        </w:rPr>
        <w:t>Produto, fabricante, lote, validade e quantidade utilizada.</w:t>
      </w:r>
    </w:p>
    <w:p>
      <w:pPr>
        <w:pStyle w:val="ListBullet"/>
        <w:spacing w:after="60"/>
        <w:ind w:left="397"/>
        <w:jc w:val="both"/>
      </w:pPr>
      <w:r>
        <w:rPr>
          <w:rFonts w:ascii="Calibri" w:hAnsi="Calibri"/>
          <w:color w:val="1A1A1A"/>
          <w:sz w:val="24"/>
        </w:rPr>
        <w:t>Região, lado, plano e técnica empregada.</w:t>
      </w:r>
    </w:p>
    <w:p>
      <w:pPr>
        <w:pStyle w:val="ListBullet"/>
        <w:spacing w:after="60"/>
        <w:ind w:left="397"/>
        <w:jc w:val="both"/>
      </w:pPr>
      <w:r>
        <w:rPr>
          <w:rFonts w:ascii="Calibri" w:hAnsi="Calibri"/>
          <w:color w:val="1A1A1A"/>
          <w:sz w:val="24"/>
        </w:rPr>
        <w:t>Parâmetros efetivamente utilizados na sessão.</w:t>
      </w:r>
    </w:p>
    <w:p>
      <w:pPr>
        <w:pStyle w:val="ListBullet"/>
        <w:spacing w:after="60"/>
        <w:ind w:left="397"/>
        <w:jc w:val="both"/>
      </w:pPr>
      <w:r>
        <w:rPr>
          <w:rFonts w:ascii="Calibri" w:hAnsi="Calibri"/>
          <w:color w:val="1A1A1A"/>
          <w:sz w:val="24"/>
        </w:rPr>
        <w:t>Intercorrências, horários e condutas.</w:t>
      </w:r>
    </w:p>
    <w:p>
      <w:pPr>
        <w:pStyle w:val="ListBullet"/>
        <w:spacing w:after="60"/>
        <w:ind w:left="397"/>
        <w:jc w:val="both"/>
      </w:pPr>
      <w:r>
        <w:rPr>
          <w:rFonts w:ascii="Calibri" w:hAnsi="Calibri"/>
          <w:color w:val="1A1A1A"/>
          <w:sz w:val="24"/>
        </w:rPr>
        <w:t>Orientação entregue e retorno agendado.</w:t>
      </w:r>
    </w:p>
    <w:p>
      <w:pPr>
        <w:keepNext/>
        <w:spacing w:before="240" w:after="80"/>
        <w:jc w:val="left"/>
      </w:pPr>
      <w:r>
        <w:rPr>
          <w:rFonts w:ascii="Calibri" w:hAnsi="Calibri"/>
          <w:b/>
          <w:color w:val="143C64"/>
          <w:sz w:val="26"/>
        </w:rPr>
        <w:t>11. Pós-procedimento e seguimento</w:t>
      </w:r>
    </w:p>
    <w:p>
      <w:pPr>
        <w:spacing w:after="120"/>
        <w:jc w:val="both"/>
      </w:pPr>
      <w:r>
        <w:rPr>
          <w:rFonts w:ascii="Calibri" w:hAnsi="Calibri"/>
          <w:b w:val="0"/>
          <w:i w:val="0"/>
          <w:color w:val="1A1A1A"/>
          <w:sz w:val="24"/>
        </w:rPr>
        <w:t>Entregar orientação escrita com sinais de alerta em linguagem leiga, canal e horário de contato, e conduta caso o profissional não seja localizado. Programar contato ativo conforme o risco. Reavaliar na data definida.</w:t>
      </w:r>
    </w:p>
    <w:p>
      <w:pPr>
        <w:keepNext/>
        <w:spacing w:before="240" w:after="80"/>
        <w:jc w:val="left"/>
      </w:pPr>
      <w:r>
        <w:rPr>
          <w:rFonts w:ascii="Calibri" w:hAnsi="Calibri"/>
          <w:b/>
          <w:color w:val="143C64"/>
          <w:sz w:val="26"/>
        </w:rPr>
        <w:t>12. Referências e data de consulta</w:t>
      </w:r>
    </w:p>
    <w:p>
      <w:pPr>
        <w:spacing w:after="120"/>
        <w:jc w:val="both"/>
      </w:pPr>
      <w:r>
        <w:rPr>
          <w:rFonts w:ascii="Calibri" w:hAnsi="Calibri"/>
          <w:b w:val="0"/>
          <w:i w:val="0"/>
          <w:color w:val="1A1A1A"/>
          <w:sz w:val="24"/>
        </w:rPr>
        <w:t>Instruções de uso do produto, com data de consulta. RDC Anvisa nº 1.002/2025 e nº 751/2022. Documentos 07, 08 e 09 do pacote. Literatura verificada citada no documento 12. Verificação das referências científicas do pacote realizada em 25 de agosto de 2026.</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641"/>
        <w:gridCol w:w="5431"/>
      </w:tblGrid>
      <w:tr>
        <w:trPr>
          <w:cantSplit/>
          <w:tblHeader/>
        </w:trPr>
        <w:tc>
          <w:tcPr>
            <w:tcW w:type="dxa" w:w="3641"/>
            <w:shd w:val="clear" w:color="auto" w:fill="143C64"/>
          </w:tcPr>
          <w:p>
            <w:pPr>
              <w:spacing w:after="0"/>
              <w:jc w:val="left"/>
            </w:pPr>
            <w:r/>
            <w:r>
              <w:rPr>
                <w:rFonts w:ascii="Calibri" w:hAnsi="Calibri"/>
                <w:b/>
                <w:color w:val="FFFFFF"/>
                <w:sz w:val="24"/>
              </w:rPr>
              <w:t>Controle</w:t>
            </w:r>
          </w:p>
        </w:tc>
        <w:tc>
          <w:tcPr>
            <w:tcW w:type="dxa" w:w="5431"/>
            <w:shd w:val="clear" w:color="auto" w:fill="143C64"/>
          </w:tcPr>
          <w:p>
            <w:pPr>
              <w:spacing w:after="0"/>
              <w:jc w:val="left"/>
            </w:pPr>
            <w:r/>
            <w:r>
              <w:rPr>
                <w:rFonts w:ascii="Calibri" w:hAnsi="Calibri"/>
                <w:b/>
                <w:color w:val="FFFFFF"/>
                <w:sz w:val="24"/>
              </w:rPr>
              <w:t>Registro</w:t>
            </w:r>
          </w:p>
        </w:tc>
      </w:tr>
      <w:tr>
        <w:trPr>
          <w:cantSplit/>
        </w:trPr>
        <w:tc>
          <w:tcPr>
            <w:tcW w:type="dxa" w:w="3641"/>
          </w:tcPr>
          <w:p>
            <w:pPr>
              <w:spacing w:after="0"/>
              <w:jc w:val="left"/>
            </w:pPr>
            <w:r/>
            <w:r>
              <w:rPr>
                <w:rFonts w:ascii="Calibri" w:hAnsi="Calibri"/>
                <w:b w:val="0"/>
                <w:color w:val="1A1A1A"/>
                <w:sz w:val="24"/>
              </w:rPr>
              <w:t>Elaboração</w:t>
            </w:r>
          </w:p>
        </w:tc>
        <w:tc>
          <w:tcPr>
            <w:tcW w:type="dxa" w:w="5431"/>
          </w:tcPr>
          <w:p>
            <w:pPr>
              <w:spacing w:after="0"/>
              <w:jc w:val="left"/>
            </w:pPr>
            <w:r/>
            <w:r>
              <w:rPr>
                <w:rFonts w:ascii="Calibri" w:hAnsi="Calibri"/>
                <w:b w:val="0"/>
                <w:color w:val="1A1A1A"/>
                <w:sz w:val="24"/>
              </w:rPr>
              <w:t>Núcleo 5 · Câmara Técnica de Harmonização Orofacial · CRO-MG</w:t>
            </w:r>
          </w:p>
        </w:tc>
      </w:tr>
      <w:tr>
        <w:trPr>
          <w:cantSplit/>
        </w:trPr>
        <w:tc>
          <w:tcPr>
            <w:tcW w:type="dxa" w:w="3641"/>
            <w:shd w:val="clear" w:color="auto" w:fill="F2F5F8"/>
          </w:tcPr>
          <w:p>
            <w:pPr>
              <w:spacing w:after="0"/>
              <w:jc w:val="left"/>
            </w:pPr>
            <w:r/>
            <w:r>
              <w:rPr>
                <w:rFonts w:ascii="Calibri" w:hAnsi="Calibri"/>
                <w:b w:val="0"/>
                <w:color w:val="1A1A1A"/>
                <w:sz w:val="24"/>
              </w:rPr>
              <w:t>Revisão por par</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Aprovação no serviço</w:t>
            </w:r>
          </w:p>
        </w:tc>
        <w:tc>
          <w:tcPr>
            <w:tcW w:type="dxa" w:w="5431"/>
          </w:tcPr>
          <w:p>
            <w:pPr>
              <w:spacing w:after="0"/>
              <w:jc w:val="left"/>
            </w:pPr>
            <w:r/>
            <w:r>
              <w:rPr>
                <w:rFonts w:ascii="Calibri" w:hAnsi="Calibri"/>
                <w:b w:val="0"/>
                <w:color w:val="1A1A1A"/>
                <w:sz w:val="24"/>
              </w:rPr>
              <w:t>Campo de preenchimento pelo serviço.</w:t>
            </w:r>
          </w:p>
        </w:tc>
      </w:tr>
      <w:tr>
        <w:trPr>
          <w:cantSplit/>
        </w:trPr>
        <w:tc>
          <w:tcPr>
            <w:tcW w:type="dxa" w:w="3641"/>
            <w:shd w:val="clear" w:color="auto" w:fill="F2F5F8"/>
          </w:tcPr>
          <w:p>
            <w:pPr>
              <w:spacing w:after="0"/>
              <w:jc w:val="left"/>
            </w:pPr>
            <w:r/>
            <w:r>
              <w:rPr>
                <w:rFonts w:ascii="Calibri" w:hAnsi="Calibri"/>
                <w:b w:val="0"/>
                <w:color w:val="1A1A1A"/>
                <w:sz w:val="24"/>
              </w:rPr>
              <w:t>Data de vigência no serviço</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Responsável Técnico</w:t>
            </w:r>
          </w:p>
        </w:tc>
        <w:tc>
          <w:tcPr>
            <w:tcW w:type="dxa" w:w="5431"/>
          </w:tcPr>
          <w:p>
            <w:pPr>
              <w:spacing w:after="0"/>
              <w:jc w:val="left"/>
            </w:pPr>
            <w:r/>
            <w:r>
              <w:rPr>
                <w:rFonts w:ascii="Calibri" w:hAnsi="Calibri"/>
                <w:b w:val="0"/>
                <w:color w:val="1A1A1A"/>
                <w:sz w:val="24"/>
              </w:rPr>
              <w:t>Campo de preenchimento pelo serviço.</w:t>
            </w:r>
          </w:p>
        </w:tc>
      </w:tr>
    </w:tbl>
    <w:p>
      <w:pPr>
        <w:keepNext/>
        <w:spacing w:before="360" w:after="160"/>
        <w:jc w:val="left"/>
        <w:pBdr>
          <w:bottom w:val="single" w:sz="8" w:space="4" w:color="143C64"/>
        </w:pBdr>
      </w:pPr>
      <w:r>
        <w:rPr>
          <w:rFonts w:ascii="Calibri" w:hAnsi="Calibri"/>
          <w:b/>
          <w:color w:val="143C64"/>
          <w:sz w:val="30"/>
        </w:rPr>
        <w:t>Governança e limites institucionais</w:t>
      </w:r>
    </w:p>
    <w:p>
      <w:pPr>
        <w:spacing w:after="120"/>
        <w:jc w:val="both"/>
      </w:pPr>
      <w:r>
        <w:rPr>
          <w:rFonts w:ascii="Calibri" w:hAnsi="Calibri"/>
          <w:b w:val="0"/>
          <w:i w:val="0"/>
          <w:color w:val="1A1A1A"/>
          <w:sz w:val="24"/>
        </w:rPr>
        <w:t>O Núcleo 5 atua em caráter técnico-científico e consultivo. Seus produtos organizam evidências, critérios, fluxos e instrumentos de segurança, mas não substituem atos normativos, fiscalização, julgamento ético, decisão clínica individual ou competências da Diretoria Executiva e do Plenário do CRO-MG.</w:t>
      </w:r>
    </w:p>
    <w:p>
      <w:pPr>
        <w:pStyle w:val="ListBullet"/>
        <w:spacing w:after="60"/>
        <w:ind w:left="397"/>
        <w:jc w:val="both"/>
      </w:pPr>
      <w:r>
        <w:rPr>
          <w:rFonts w:ascii="Calibri" w:hAnsi="Calibri"/>
          <w:color w:val="1A1A1A"/>
          <w:sz w:val="24"/>
        </w:rPr>
        <w:t>Não apresentar opinião individual como posição oficial do CRO-MG.</w:t>
      </w:r>
    </w:p>
    <w:p>
      <w:pPr>
        <w:pStyle w:val="ListBullet"/>
        <w:spacing w:after="60"/>
        <w:ind w:left="397"/>
        <w:jc w:val="both"/>
      </w:pPr>
      <w:r>
        <w:rPr>
          <w:rFonts w:ascii="Calibri" w:hAnsi="Calibri"/>
          <w:color w:val="1A1A1A"/>
          <w:sz w:val="24"/>
        </w:rPr>
        <w:t>Não promover marcas, fabricantes, empresas ou interesses comerciais.</w:t>
      </w:r>
    </w:p>
    <w:p>
      <w:pPr>
        <w:pStyle w:val="ListBullet"/>
        <w:spacing w:after="60"/>
        <w:ind w:left="397"/>
        <w:jc w:val="both"/>
      </w:pPr>
      <w:r>
        <w:rPr>
          <w:rFonts w:ascii="Calibri" w:hAnsi="Calibri"/>
          <w:color w:val="1A1A1A"/>
          <w:sz w:val="24"/>
        </w:rPr>
        <w:t>Declarar conflitos de interesse antes de qualquer avaliação tecnológica.</w:t>
      </w:r>
    </w:p>
    <w:p>
      <w:pPr>
        <w:pStyle w:val="ListBullet"/>
        <w:spacing w:after="60"/>
        <w:ind w:left="397"/>
        <w:jc w:val="both"/>
      </w:pPr>
      <w:r>
        <w:rPr>
          <w:rFonts w:ascii="Calibri" w:hAnsi="Calibri"/>
          <w:color w:val="1A1A1A"/>
          <w:sz w:val="24"/>
        </w:rPr>
        <w:t>Distinguir norma vigente, evidência científica, recomendação técnica e proposta pendente de deliberação.</w:t>
      </w:r>
    </w:p>
    <w:p>
      <w:pPr>
        <w:pStyle w:val="ListBullet"/>
        <w:spacing w:after="60"/>
        <w:ind w:left="397"/>
        <w:jc w:val="both"/>
      </w:pPr>
      <w:r>
        <w:rPr>
          <w:rFonts w:ascii="Calibri" w:hAnsi="Calibri"/>
          <w:color w:val="1A1A1A"/>
          <w:sz w:val="24"/>
        </w:rPr>
        <w:t>Não divulgar externamente documentos antes do fluxo institucional de revisão e aprovação.</w:t>
      </w:r>
    </w:p>
    <w:p>
      <w:pPr>
        <w:pStyle w:val="ListBullet"/>
        <w:spacing w:after="60"/>
        <w:ind w:left="397"/>
        <w:jc w:val="both"/>
      </w:pPr>
      <w:r>
        <w:rPr>
          <w:rFonts w:ascii="Calibri" w:hAnsi="Calibri"/>
          <w:color w:val="1A1A1A"/>
          <w:sz w:val="24"/>
        </w:rPr>
        <w:t>Não compartilhar dados identificáveis de pacientes ou de profissionais sem finalidade, base legal e governança adequadas.</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Condição de uso</w:t>
            </w:r>
          </w:p>
          <w:p>
            <w:pPr>
              <w:spacing w:after="0"/>
              <w:jc w:val="both"/>
            </w:pPr>
            <w:r>
              <w:rPr>
                <w:rFonts w:ascii="Calibri" w:hAnsi="Calibri"/>
                <w:color w:val="1A1A1A"/>
                <w:sz w:val="24"/>
              </w:rPr>
              <w:t>Este documento é instrumento de trabalho do Núcleo 5. Não constitui norma, parecer vinculante, autorização de tecnologia, aval de produto comercial nem substituto da avaliação clínica individual. Sua eventual publicação externa depende de validação da Diretoria Executiva do CRO-MG.</w:t>
            </w:r>
          </w:p>
        </w:tc>
      </w:tr>
    </w:tbl>
    <w:p>
      <w:pPr>
        <w:spacing w:after="80"/>
      </w:pPr>
    </w:p>
    <w:sectPr w:rsidR="00FC693F" w:rsidRPr="0006063C" w:rsidSect="00034616">
      <w:headerReference w:type="default" r:id="rId9"/>
      <w:footerReference w:type="default" r:id="rId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444A52"/>
        <w:sz w:val="18"/>
      </w:rPr>
      <w:t>POP-N5-02 · Aplicação de preenchedor injetável · versão 1.0 · documento técnico-consultivo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Calibri" w:hAnsi="Calibri"/>
        <w:color w:val="444A52"/>
        <w:sz w:val="18"/>
      </w:rPr>
      <w:t>Núcleo 5 · CT-HOF · CRO-MG | POP-N5-02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jc w:val="both"/>
    </w:pPr>
    <w:rPr>
      <w:rFonts w:ascii="Calibri" w:hAnsi="Calibri" w:eastAsia="Calibri"/>
      <w:color w:val="1A1A1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