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POP-N5-14  Preparo, limpeza e conservação de equipamento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02"/>
        <w:gridCol w:w="5370"/>
      </w:tblGrid>
      <w:tr>
        <w:trPr>
          <w:cantSplit/>
          <w:tblHeader/>
        </w:trPr>
        <w:tc>
          <w:tcPr>
            <w:tcW w:type="dxa" w:w="3702"/>
            <w:shd w:val="clear" w:color="auto" w:fill="143C64"/>
          </w:tcPr>
          <w:p>
            <w:pPr>
              <w:spacing w:after="0"/>
              <w:jc w:val="left"/>
            </w:pPr>
            <w:r/>
            <w:r>
              <w:rPr>
                <w:rFonts w:ascii="Calibri" w:hAnsi="Calibri"/>
                <w:b/>
                <w:color w:val="FFFFFF"/>
                <w:sz w:val="24"/>
              </w:rPr>
              <w:t>Campo</w:t>
            </w:r>
          </w:p>
        </w:tc>
        <w:tc>
          <w:tcPr>
            <w:tcW w:type="dxa" w:w="5370"/>
            <w:shd w:val="clear" w:color="auto" w:fill="143C64"/>
          </w:tcPr>
          <w:p>
            <w:pPr>
              <w:spacing w:after="0"/>
              <w:jc w:val="left"/>
            </w:pPr>
            <w:r/>
            <w:r>
              <w:rPr>
                <w:rFonts w:ascii="Calibri" w:hAnsi="Calibri"/>
                <w:b/>
                <w:color w:val="FFFFFF"/>
                <w:sz w:val="24"/>
              </w:rPr>
              <w:t>Conteúdo</w:t>
            </w:r>
          </w:p>
        </w:tc>
      </w:tr>
      <w:tr>
        <w:trPr>
          <w:cantSplit/>
        </w:trPr>
        <w:tc>
          <w:tcPr>
            <w:tcW w:type="dxa" w:w="3702"/>
          </w:tcPr>
          <w:p>
            <w:pPr>
              <w:spacing w:after="0"/>
              <w:jc w:val="left"/>
            </w:pPr>
            <w:r/>
            <w:r>
              <w:rPr>
                <w:rFonts w:ascii="Calibri" w:hAnsi="Calibri"/>
                <w:b/>
                <w:color w:val="1A1A1A"/>
                <w:sz w:val="24"/>
              </w:rPr>
              <w:t>1. Identificação</w:t>
            </w:r>
          </w:p>
        </w:tc>
        <w:tc>
          <w:tcPr>
            <w:tcW w:type="dxa" w:w="5370"/>
          </w:tcPr>
          <w:p>
            <w:pPr>
              <w:spacing w:after="0"/>
              <w:jc w:val="left"/>
            </w:pPr>
            <w:r/>
            <w:r>
              <w:rPr>
                <w:rFonts w:ascii="Calibri" w:hAnsi="Calibri"/>
                <w:b w:val="0"/>
                <w:color w:val="1A1A1A"/>
                <w:sz w:val="24"/>
              </w:rPr>
              <w:t>Código POP-N5-14. Versão 1.0. Emissão em 26 de agosto de 2026. Próxima revisão em até doze meses. Onda de produção 2. Situação de escopo: Livre. Responsável técnico pela redação: Campo de preenchimento pelo serviço.</w:t>
            </w:r>
          </w:p>
        </w:tc>
      </w:tr>
      <w:tr>
        <w:trPr>
          <w:cantSplit/>
        </w:trPr>
        <w:tc>
          <w:tcPr>
            <w:tcW w:type="dxa" w:w="3702"/>
            <w:shd w:val="clear" w:color="auto" w:fill="F2F5F8"/>
          </w:tcPr>
          <w:p>
            <w:pPr>
              <w:spacing w:after="0"/>
              <w:jc w:val="left"/>
            </w:pPr>
            <w:r/>
            <w:r>
              <w:rPr>
                <w:rFonts w:ascii="Calibri" w:hAnsi="Calibri"/>
                <w:b/>
                <w:color w:val="1A1A1A"/>
                <w:sz w:val="24"/>
              </w:rPr>
              <w:t>2. Objetivo e alcance</w:t>
            </w:r>
          </w:p>
        </w:tc>
        <w:tc>
          <w:tcPr>
            <w:tcW w:type="dxa" w:w="5370"/>
            <w:shd w:val="clear" w:color="auto" w:fill="F2F5F8"/>
          </w:tcPr>
          <w:p>
            <w:pPr>
              <w:spacing w:after="0"/>
              <w:jc w:val="left"/>
            </w:pPr>
            <w:r/>
            <w:r>
              <w:rPr>
                <w:rFonts w:ascii="Calibri" w:hAnsi="Calibri"/>
                <w:b w:val="0"/>
                <w:color w:val="1A1A1A"/>
                <w:sz w:val="24"/>
              </w:rPr>
              <w:t>Padronizar o preparo antes do uso, a limpeza após o uso, a conservação e a verificação periódica de equipamentos empregados em Harmonização Orofacial.</w:t>
            </w:r>
          </w:p>
        </w:tc>
      </w:tr>
      <w:tr>
        <w:trPr>
          <w:cantSplit/>
        </w:trPr>
        <w:tc>
          <w:tcPr>
            <w:tcW w:type="dxa" w:w="3702"/>
          </w:tcPr>
          <w:p>
            <w:pPr>
              <w:spacing w:after="0"/>
              <w:jc w:val="left"/>
            </w:pPr>
            <w:r/>
            <w:r>
              <w:rPr>
                <w:rFonts w:ascii="Calibri" w:hAnsi="Calibri"/>
                <w:b/>
                <w:color w:val="1A1A1A"/>
                <w:sz w:val="24"/>
              </w:rPr>
              <w:t>3. Situação regulatória</w:t>
            </w:r>
          </w:p>
        </w:tc>
        <w:tc>
          <w:tcPr>
            <w:tcW w:type="dxa" w:w="5370"/>
          </w:tcPr>
          <w:p>
            <w:pPr>
              <w:spacing w:after="0"/>
              <w:jc w:val="left"/>
            </w:pPr>
            <w:r/>
            <w:r>
              <w:rPr>
                <w:rFonts w:ascii="Calibri" w:hAnsi="Calibri"/>
                <w:b w:val="0"/>
                <w:color w:val="1A1A1A"/>
                <w:sz w:val="24"/>
              </w:rPr>
              <w:t>RDC Anvisa nº 1.002/2025, nº 509/2021, nº 751/2022 e, quando aplicável, nº 549/2021. As rotinas seguem também as instruções do fabricante e o Plano de Gerenciamento do serviço.</w:t>
            </w:r>
          </w:p>
        </w:tc>
      </w:tr>
      <w:tr>
        <w:trPr>
          <w:cantSplit/>
        </w:trPr>
        <w:tc>
          <w:tcPr>
            <w:tcW w:type="dxa" w:w="3702"/>
            <w:shd w:val="clear" w:color="auto" w:fill="F2F5F8"/>
          </w:tcPr>
          <w:p>
            <w:pPr>
              <w:spacing w:after="0"/>
              <w:jc w:val="left"/>
            </w:pPr>
            <w:r/>
            <w:r>
              <w:rPr>
                <w:rFonts w:ascii="Calibri" w:hAnsi="Calibri"/>
                <w:b/>
                <w:color w:val="1A1A1A"/>
                <w:sz w:val="24"/>
              </w:rPr>
              <w:t>4. Competência exigida</w:t>
            </w:r>
          </w:p>
        </w:tc>
        <w:tc>
          <w:tcPr>
            <w:tcW w:type="dxa" w:w="5370"/>
            <w:shd w:val="clear" w:color="auto" w:fill="F2F5F8"/>
          </w:tcPr>
          <w:p>
            <w:pPr>
              <w:spacing w:after="0"/>
              <w:jc w:val="left"/>
            </w:pPr>
            <w:r/>
            <w:r>
              <w:rPr>
                <w:rFonts w:ascii="Calibri" w:hAnsi="Calibri"/>
                <w:b w:val="0"/>
                <w:color w:val="1A1A1A"/>
                <w:sz w:val="24"/>
              </w:rPr>
              <w:t>Profissional ou integrante da equipe treinado para o equipamento específico. Responsável Técnico pelo plano de manutenção e pelas liberações para uso.</w:t>
            </w:r>
          </w:p>
        </w:tc>
      </w:tr>
      <w:tr>
        <w:trPr>
          <w:cantSplit/>
        </w:trPr>
        <w:tc>
          <w:tcPr>
            <w:tcW w:type="dxa" w:w="3702"/>
          </w:tcPr>
          <w:p>
            <w:pPr>
              <w:spacing w:after="0"/>
              <w:jc w:val="left"/>
            </w:pPr>
            <w:r/>
            <w:r>
              <w:rPr>
                <w:rFonts w:ascii="Calibri" w:hAnsi="Calibri"/>
                <w:b/>
                <w:color w:val="1A1A1A"/>
                <w:sz w:val="24"/>
              </w:rPr>
              <w:t>5. Materiais e equipamentos</w:t>
            </w:r>
          </w:p>
        </w:tc>
        <w:tc>
          <w:tcPr>
            <w:tcW w:type="dxa" w:w="5370"/>
          </w:tcPr>
          <w:p>
            <w:pPr>
              <w:spacing w:after="0"/>
              <w:jc w:val="left"/>
            </w:pPr>
            <w:r/>
            <w:r>
              <w:rPr>
                <w:rFonts w:ascii="Calibri" w:hAnsi="Calibri"/>
                <w:b w:val="0"/>
                <w:color w:val="1A1A1A"/>
                <w:sz w:val="24"/>
              </w:rPr>
              <w:t>Manual e instruções de uso do equipamento; produtos de limpeza e desinfecção compatíveis; acessórios e consumíveis previstos; local de guarda adequado; registro de manutenção.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Equipamento regularizado, com situação consultada e data registrada.</w:t>
      </w:r>
    </w:p>
    <w:p>
      <w:pPr>
        <w:pStyle w:val="ListBullet"/>
        <w:spacing w:after="60"/>
        <w:ind w:left="397"/>
        <w:jc w:val="both"/>
      </w:pPr>
      <w:r>
        <w:rPr>
          <w:rFonts w:ascii="Calibri" w:hAnsi="Calibri"/>
          <w:color w:val="1A1A1A"/>
          <w:sz w:val="24"/>
        </w:rPr>
        <w:t>☐  Integridade física, cabos, conectores, acessórios e alimentação elétrica.</w:t>
      </w:r>
    </w:p>
    <w:p>
      <w:pPr>
        <w:pStyle w:val="ListBullet"/>
        <w:spacing w:after="60"/>
        <w:ind w:left="397"/>
        <w:jc w:val="both"/>
      </w:pPr>
      <w:r>
        <w:rPr>
          <w:rFonts w:ascii="Calibri" w:hAnsi="Calibri"/>
          <w:color w:val="1A1A1A"/>
          <w:sz w:val="24"/>
        </w:rPr>
        <w:t>☐  Manutenção preventiva, calibração ou verificação de desempenho em dia, conforme o plano.</w:t>
      </w:r>
    </w:p>
    <w:p>
      <w:pPr>
        <w:pStyle w:val="ListBullet"/>
        <w:spacing w:after="60"/>
        <w:ind w:left="397"/>
        <w:jc w:val="both"/>
      </w:pPr>
      <w:r>
        <w:rPr>
          <w:rFonts w:ascii="Calibri" w:hAnsi="Calibri"/>
          <w:color w:val="1A1A1A"/>
          <w:sz w:val="24"/>
        </w:rPr>
        <w:t>☐  Ausência de alerta sanitário ou recolhimento pendente para o modelo.</w:t>
      </w:r>
    </w:p>
    <w:p>
      <w:pPr>
        <w:pStyle w:val="ListBullet"/>
        <w:spacing w:after="60"/>
        <w:ind w:left="397"/>
        <w:jc w:val="both"/>
      </w:pPr>
      <w:r>
        <w:rPr>
          <w:rFonts w:ascii="Calibri" w:hAnsi="Calibri"/>
          <w:color w:val="1A1A1A"/>
          <w:sz w:val="24"/>
        </w:rPr>
        <w:t>☐  Condições ambientais e elétricas do local conforme especificação do fabricante.</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checagem pré-uso prevista pelo fabricante antes do primeiro atendimento do dia.</w:t>
      </w:r>
    </w:p>
    <w:p>
      <w:pPr>
        <w:pStyle w:val="ListNumber"/>
        <w:spacing w:after="60"/>
        <w:ind w:left="397"/>
        <w:jc w:val="both"/>
      </w:pPr>
      <w:r>
        <w:rPr>
          <w:rFonts w:ascii="Calibri" w:hAnsi="Calibri"/>
          <w:color w:val="1A1A1A"/>
          <w:sz w:val="24"/>
        </w:rPr>
        <w:t>Conferir os parâmetros antes de cada aplicação, registrando os efetivamente utilizados.</w:t>
      </w:r>
    </w:p>
    <w:p>
      <w:pPr>
        <w:pStyle w:val="ListNumber"/>
        <w:spacing w:after="60"/>
        <w:ind w:left="397"/>
        <w:jc w:val="both"/>
      </w:pPr>
      <w:r>
        <w:rPr>
          <w:rFonts w:ascii="Calibri" w:hAnsi="Calibri"/>
          <w:color w:val="1A1A1A"/>
          <w:sz w:val="24"/>
        </w:rPr>
        <w:t>Limpar e desinfetar imediatamente após o uso, conforme protocolo do fabricante e norma sanitária.</w:t>
      </w:r>
    </w:p>
    <w:p>
      <w:pPr>
        <w:pStyle w:val="ListNumber"/>
        <w:spacing w:after="60"/>
        <w:ind w:left="397"/>
        <w:jc w:val="both"/>
      </w:pPr>
      <w:r>
        <w:rPr>
          <w:rFonts w:ascii="Calibri" w:hAnsi="Calibri"/>
          <w:color w:val="1A1A1A"/>
          <w:sz w:val="24"/>
        </w:rPr>
        <w:t>Armazenar em local adequado e protegido, com cabos e acessórios organizados.</w:t>
      </w:r>
    </w:p>
    <w:p>
      <w:pPr>
        <w:pStyle w:val="ListNumber"/>
        <w:spacing w:after="60"/>
        <w:ind w:left="397"/>
        <w:jc w:val="both"/>
      </w:pPr>
      <w:r>
        <w:rPr>
          <w:rFonts w:ascii="Calibri" w:hAnsi="Calibri"/>
          <w:color w:val="1A1A1A"/>
          <w:sz w:val="24"/>
        </w:rPr>
        <w:t>Registrar qualquer comportamento inesperado, ainda que o equipamento volte a funcionar.</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Comportamento fora do esperado, ruído, aquecimento anormal ou falha intermitente.</w:t>
      </w:r>
    </w:p>
    <w:p>
      <w:pPr>
        <w:pStyle w:val="ListBullet"/>
        <w:spacing w:after="60"/>
        <w:ind w:left="397"/>
        <w:jc w:val="both"/>
      </w:pPr>
      <w:r>
        <w:rPr>
          <w:rFonts w:ascii="Calibri" w:hAnsi="Calibri"/>
          <w:color w:val="1A1A1A"/>
          <w:sz w:val="24"/>
        </w:rPr>
        <w:t>Manutenção vencida ou laudo indisponível.</w:t>
      </w:r>
    </w:p>
    <w:p>
      <w:pPr>
        <w:pStyle w:val="ListBullet"/>
        <w:spacing w:after="60"/>
        <w:ind w:left="397"/>
        <w:jc w:val="both"/>
      </w:pPr>
      <w:r>
        <w:rPr>
          <w:rFonts w:ascii="Calibri" w:hAnsi="Calibri"/>
          <w:color w:val="1A1A1A"/>
          <w:sz w:val="24"/>
        </w:rPr>
        <w:t>Acessório fora de especificação ou consumível não previsto pelo fabricante.</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Diante de falha ou de risco potencial, interromper o uso, segregar e identificar o equipamento, preservar evidências e aplicar o POP-N5-T04 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Checagem pré-uso e parâmetros utilizados por sessão.</w:t>
      </w:r>
    </w:p>
    <w:p>
      <w:pPr>
        <w:pStyle w:val="ListBullet"/>
        <w:spacing w:after="60"/>
        <w:ind w:left="397"/>
        <w:jc w:val="both"/>
      </w:pPr>
      <w:r>
        <w:rPr>
          <w:rFonts w:ascii="Calibri" w:hAnsi="Calibri"/>
          <w:color w:val="1A1A1A"/>
          <w:sz w:val="24"/>
        </w:rPr>
        <w:t>Registro de limpeza, desinfecção e conservação.</w:t>
      </w:r>
    </w:p>
    <w:p>
      <w:pPr>
        <w:pStyle w:val="ListBullet"/>
        <w:spacing w:after="60"/>
        <w:ind w:left="397"/>
        <w:jc w:val="both"/>
      </w:pPr>
      <w:r>
        <w:rPr>
          <w:rFonts w:ascii="Calibri" w:hAnsi="Calibri"/>
          <w:color w:val="1A1A1A"/>
          <w:sz w:val="24"/>
        </w:rPr>
        <w:t>Registro de manutenção, calibração e liberações para uso.</w:t>
      </w:r>
    </w:p>
    <w:p>
      <w:pPr>
        <w:pStyle w:val="ListBullet"/>
        <w:spacing w:after="60"/>
        <w:ind w:left="397"/>
        <w:jc w:val="both"/>
      </w:pPr>
      <w:r>
        <w:rPr>
          <w:rFonts w:ascii="Calibri" w:hAnsi="Calibri"/>
          <w:color w:val="1A1A1A"/>
          <w:sz w:val="24"/>
        </w:rPr>
        <w:t>Registro de ocorrências e das providências adotadas.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o plano de manutenção a cada atualização do fabricante, manutenção corretiva relevante, alerta sanitário ou alteração normativa.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fabricante, com data de consulta. RDC Anvisa nº 1.002/2025, nº 509/2021, nº 751/2022 e nº 549/2021. Documento 10 do pacote. POP-N5-T02.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POP-N5-14 · Preparo, limpeza e conservação de equipamento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