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REFERÊNCIA DO CICLO 2026</w:t>
      </w:r>
    </w:p>
    <w:p>
      <w:pPr>
        <w:spacing w:after="160"/>
        <w:jc w:val="center"/>
      </w:pPr>
      <w:r>
        <w:rPr>
          <w:rFonts w:ascii="Calibri" w:hAnsi="Calibri"/>
          <w:b/>
          <w:color w:val="143C64"/>
          <w:sz w:val="48"/>
        </w:rPr>
        <w:t>Documento Mãe do Núcleo 5</w:t>
      </w:r>
    </w:p>
    <w:p>
      <w:pPr>
        <w:spacing w:after="720"/>
        <w:jc w:val="center"/>
      </w:pPr>
      <w:r>
        <w:rPr>
          <w:rFonts w:ascii="Calibri" w:hAnsi="Calibri"/>
          <w:b w:val="0"/>
          <w:i w:val="0"/>
          <w:color w:val="444A52"/>
          <w:sz w:val="26"/>
        </w:rPr>
        <w:t>Identidade, arquitetura consolidada, produção executada, decisões técnicas que estruturaram o pacote e situação das doze metas do ciclo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N5-MAE-01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2.0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27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Documento de entrada da pasta institucional</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O que este documento é</w:t>
      </w:r>
    </w:p>
    <w:p>
      <w:pPr>
        <w:spacing w:after="120"/>
        <w:jc w:val="both"/>
      </w:pPr>
      <w:r>
        <w:rPr>
          <w:rFonts w:ascii="Calibri" w:hAnsi="Calibri"/>
          <w:b w:val="0"/>
          <w:i w:val="0"/>
          <w:color w:val="1A1A1A"/>
          <w:sz w:val="24"/>
        </w:rPr>
        <w:t>Este é o documento de entrada do Núcleo 5. Reúne o que o Núcleo é, o que produziu no ciclo 2026, onde cada produto está e o que cada meta entregou. Não repete o conteúdo dos demais documentos e não substitui o Índice Mestre, que faz o controle de entregas do pacote técnico.</w:t>
      </w:r>
    </w:p>
    <w:p>
      <w:pPr>
        <w:spacing w:after="120"/>
        <w:jc w:val="both"/>
      </w:pPr>
      <w:r>
        <w:rPr>
          <w:rFonts w:ascii="Calibri" w:hAnsi="Calibri"/>
          <w:b w:val="0"/>
          <w:i w:val="0"/>
          <w:color w:val="1A1A1A"/>
          <w:sz w:val="24"/>
        </w:rPr>
        <w:t>O ciclo está em fase de entrega. A produção técnica das doze metas está concluída. O que permanece pendente são atos institucionais que não pertencem ao Núcleo: aprovação em ata, protocolo de ofícios, resposta de órgãos externos, revisão jurídica e realização de eventos. A seção 6 separa uma coisa da outra.</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Identidade e mandato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39"/>
        <w:gridCol w:w="5533"/>
      </w:tblGrid>
      <w:tr>
        <w:trPr>
          <w:cantSplit/>
          <w:tblHeader/>
        </w:trPr>
        <w:tc>
          <w:tcPr>
            <w:tcW w:type="dxa" w:w="3539"/>
            <w:shd w:val="clear" w:color="auto" w:fill="143C64"/>
          </w:tcPr>
          <w:p>
            <w:pPr>
              <w:spacing w:after="0"/>
              <w:jc w:val="left"/>
            </w:pPr>
            <w:r/>
            <w:r>
              <w:rPr>
                <w:rFonts w:ascii="Calibri" w:hAnsi="Calibri"/>
                <w:b/>
                <w:color w:val="FFFFFF"/>
                <w:sz w:val="24"/>
              </w:rPr>
              <w:t>Campo</w:t>
            </w:r>
          </w:p>
        </w:tc>
        <w:tc>
          <w:tcPr>
            <w:tcW w:type="dxa" w:w="5533"/>
            <w:shd w:val="clear" w:color="auto" w:fill="143C64"/>
          </w:tcPr>
          <w:p>
            <w:pPr>
              <w:spacing w:after="0"/>
              <w:jc w:val="left"/>
            </w:pPr>
            <w:r/>
            <w:r>
              <w:rPr>
                <w:rFonts w:ascii="Calibri" w:hAnsi="Calibri"/>
                <w:b/>
                <w:color w:val="FFFFFF"/>
                <w:sz w:val="24"/>
              </w:rPr>
              <w:t>Registro</w:t>
            </w:r>
          </w:p>
        </w:tc>
      </w:tr>
      <w:tr>
        <w:trPr>
          <w:cantSplit/>
        </w:trPr>
        <w:tc>
          <w:tcPr>
            <w:tcW w:type="dxa" w:w="3539"/>
          </w:tcPr>
          <w:p>
            <w:pPr>
              <w:spacing w:after="0"/>
              <w:jc w:val="left"/>
            </w:pPr>
            <w:r/>
            <w:r>
              <w:rPr>
                <w:rFonts w:ascii="Calibri" w:hAnsi="Calibri"/>
                <w:b w:val="0"/>
                <w:color w:val="1A1A1A"/>
                <w:sz w:val="24"/>
              </w:rPr>
              <w:t>Órgão</w:t>
            </w:r>
          </w:p>
        </w:tc>
        <w:tc>
          <w:tcPr>
            <w:tcW w:type="dxa" w:w="5533"/>
          </w:tcPr>
          <w:p>
            <w:pPr>
              <w:spacing w:after="0"/>
              <w:jc w:val="left"/>
            </w:pPr>
            <w:r/>
            <w:r>
              <w:rPr>
                <w:rFonts w:ascii="Calibri" w:hAnsi="Calibri"/>
                <w:b w:val="0"/>
                <w:color w:val="1A1A1A"/>
                <w:sz w:val="24"/>
              </w:rPr>
              <w:t>Conselho Regional de Odontologia de Minas Gerais</w:t>
            </w:r>
          </w:p>
        </w:tc>
      </w:tr>
      <w:tr>
        <w:trPr>
          <w:cantSplit/>
        </w:trPr>
        <w:tc>
          <w:tcPr>
            <w:tcW w:type="dxa" w:w="3539"/>
            <w:shd w:val="clear" w:color="auto" w:fill="F2F5F8"/>
          </w:tcPr>
          <w:p>
            <w:pPr>
              <w:spacing w:after="0"/>
              <w:jc w:val="left"/>
            </w:pPr>
            <w:r/>
            <w:r>
              <w:rPr>
                <w:rFonts w:ascii="Calibri" w:hAnsi="Calibri"/>
                <w:b w:val="0"/>
                <w:color w:val="1A1A1A"/>
                <w:sz w:val="24"/>
              </w:rPr>
              <w:t>Colegiado</w:t>
            </w:r>
          </w:p>
        </w:tc>
        <w:tc>
          <w:tcPr>
            <w:tcW w:type="dxa" w:w="5533"/>
            <w:shd w:val="clear" w:color="auto" w:fill="F2F5F8"/>
          </w:tcPr>
          <w:p>
            <w:pPr>
              <w:spacing w:after="0"/>
              <w:jc w:val="left"/>
            </w:pPr>
            <w:r/>
            <w:r>
              <w:rPr>
                <w:rFonts w:ascii="Calibri" w:hAnsi="Calibri"/>
                <w:b w:val="0"/>
                <w:color w:val="1A1A1A"/>
                <w:sz w:val="24"/>
              </w:rPr>
              <w:t>Câmara Técnica de Harmonização Orofacial</w:t>
            </w:r>
          </w:p>
        </w:tc>
      </w:tr>
      <w:tr>
        <w:trPr>
          <w:cantSplit/>
        </w:trPr>
        <w:tc>
          <w:tcPr>
            <w:tcW w:type="dxa" w:w="3539"/>
          </w:tcPr>
          <w:p>
            <w:pPr>
              <w:spacing w:after="0"/>
              <w:jc w:val="left"/>
            </w:pPr>
            <w:r/>
            <w:r>
              <w:rPr>
                <w:rFonts w:ascii="Calibri" w:hAnsi="Calibri"/>
                <w:b w:val="0"/>
                <w:color w:val="1A1A1A"/>
                <w:sz w:val="24"/>
              </w:rPr>
              <w:t>Núcleo</w:t>
            </w:r>
          </w:p>
        </w:tc>
        <w:tc>
          <w:tcPr>
            <w:tcW w:type="dxa" w:w="5533"/>
          </w:tcPr>
          <w:p>
            <w:pPr>
              <w:spacing w:after="0"/>
              <w:jc w:val="left"/>
            </w:pPr>
            <w:r/>
            <w:r>
              <w:rPr>
                <w:rFonts w:ascii="Calibri" w:hAnsi="Calibri"/>
                <w:b w:val="0"/>
                <w:color w:val="1A1A1A"/>
                <w:sz w:val="24"/>
              </w:rPr>
              <w:t>Núcleo 5, Inovação, Tecnologias e Segurança Clínica</w:t>
            </w:r>
          </w:p>
        </w:tc>
      </w:tr>
      <w:tr>
        <w:trPr>
          <w:cantSplit/>
        </w:trPr>
        <w:tc>
          <w:tcPr>
            <w:tcW w:type="dxa" w:w="3539"/>
            <w:shd w:val="clear" w:color="auto" w:fill="F2F5F8"/>
          </w:tcPr>
          <w:p>
            <w:pPr>
              <w:spacing w:after="0"/>
              <w:jc w:val="left"/>
            </w:pPr>
            <w:r/>
            <w:r>
              <w:rPr>
                <w:rFonts w:ascii="Calibri" w:hAnsi="Calibri"/>
                <w:b w:val="0"/>
                <w:color w:val="1A1A1A"/>
                <w:sz w:val="24"/>
              </w:rPr>
              <w:t>Ato de constituição</w:t>
            </w:r>
          </w:p>
        </w:tc>
        <w:tc>
          <w:tcPr>
            <w:tcW w:type="dxa" w:w="5533"/>
            <w:shd w:val="clear" w:color="auto" w:fill="F2F5F8"/>
          </w:tcPr>
          <w:p>
            <w:pPr>
              <w:spacing w:after="0"/>
              <w:jc w:val="left"/>
            </w:pPr>
            <w:r/>
            <w:r>
              <w:rPr>
                <w:rFonts w:ascii="Calibri" w:hAnsi="Calibri"/>
                <w:b w:val="0"/>
                <w:color w:val="1A1A1A"/>
                <w:sz w:val="24"/>
              </w:rPr>
              <w:t>Portaria CRO-MG nº 190/2026</w:t>
            </w:r>
          </w:p>
        </w:tc>
      </w:tr>
      <w:tr>
        <w:trPr>
          <w:cantSplit/>
        </w:trPr>
        <w:tc>
          <w:tcPr>
            <w:tcW w:type="dxa" w:w="3539"/>
          </w:tcPr>
          <w:p>
            <w:pPr>
              <w:spacing w:after="0"/>
              <w:jc w:val="left"/>
            </w:pPr>
            <w:r/>
            <w:r>
              <w:rPr>
                <w:rFonts w:ascii="Calibri" w:hAnsi="Calibri"/>
                <w:b w:val="0"/>
                <w:color w:val="1A1A1A"/>
                <w:sz w:val="24"/>
              </w:rPr>
              <w:t>Presidência</w:t>
            </w:r>
          </w:p>
        </w:tc>
        <w:tc>
          <w:tcPr>
            <w:tcW w:type="dxa" w:w="5533"/>
          </w:tcPr>
          <w:p>
            <w:pPr>
              <w:spacing w:after="0"/>
              <w:jc w:val="left"/>
            </w:pPr>
            <w:r/>
            <w:r>
              <w:rPr>
                <w:rFonts w:ascii="Calibri" w:hAnsi="Calibri"/>
                <w:b w:val="0"/>
                <w:color w:val="1A1A1A"/>
                <w:sz w:val="24"/>
              </w:rPr>
              <w:t>Allyson Henrique de Andrade Fonseca, MG-CD 37.755</w:t>
            </w:r>
          </w:p>
        </w:tc>
      </w:tr>
      <w:tr>
        <w:trPr>
          <w:cantSplit/>
        </w:trPr>
        <w:tc>
          <w:tcPr>
            <w:tcW w:type="dxa" w:w="3539"/>
            <w:shd w:val="clear" w:color="auto" w:fill="F2F5F8"/>
          </w:tcPr>
          <w:p>
            <w:pPr>
              <w:spacing w:after="0"/>
              <w:jc w:val="left"/>
            </w:pPr>
            <w:r/>
            <w:r>
              <w:rPr>
                <w:rFonts w:ascii="Calibri" w:hAnsi="Calibri"/>
                <w:b w:val="0"/>
                <w:color w:val="1A1A1A"/>
                <w:sz w:val="24"/>
              </w:rPr>
              <w:t>Vice-Presidência</w:t>
            </w:r>
          </w:p>
        </w:tc>
        <w:tc>
          <w:tcPr>
            <w:tcW w:type="dxa" w:w="5533"/>
            <w:shd w:val="clear" w:color="auto" w:fill="F2F5F8"/>
          </w:tcPr>
          <w:p>
            <w:pPr>
              <w:spacing w:after="0"/>
              <w:jc w:val="left"/>
            </w:pPr>
            <w:r/>
            <w:r>
              <w:rPr>
                <w:rFonts w:ascii="Calibri" w:hAnsi="Calibri"/>
                <w:b w:val="0"/>
                <w:color w:val="1A1A1A"/>
                <w:sz w:val="24"/>
              </w:rPr>
              <w:t>Tânia de Carvalho Rocha, MG-CD 13.166</w:t>
            </w:r>
          </w:p>
        </w:tc>
      </w:tr>
      <w:tr>
        <w:trPr>
          <w:cantSplit/>
        </w:trPr>
        <w:tc>
          <w:tcPr>
            <w:tcW w:type="dxa" w:w="3539"/>
          </w:tcPr>
          <w:p>
            <w:pPr>
              <w:spacing w:after="0"/>
              <w:jc w:val="left"/>
            </w:pPr>
            <w:r/>
            <w:r>
              <w:rPr>
                <w:rFonts w:ascii="Calibri" w:hAnsi="Calibri"/>
                <w:b w:val="0"/>
                <w:color w:val="1A1A1A"/>
                <w:sz w:val="24"/>
              </w:rPr>
              <w:t>Secretaria</w:t>
            </w:r>
          </w:p>
        </w:tc>
        <w:tc>
          <w:tcPr>
            <w:tcW w:type="dxa" w:w="5533"/>
          </w:tcPr>
          <w:p>
            <w:pPr>
              <w:spacing w:after="0"/>
              <w:jc w:val="left"/>
            </w:pPr>
            <w:r/>
            <w:r>
              <w:rPr>
                <w:rFonts w:ascii="Calibri" w:hAnsi="Calibri"/>
                <w:b w:val="0"/>
                <w:color w:val="1A1A1A"/>
                <w:sz w:val="24"/>
              </w:rPr>
              <w:t>Lívia Ciribelli Borges, MG-CD 34.944</w:t>
            </w:r>
          </w:p>
        </w:tc>
      </w:tr>
      <w:tr>
        <w:trPr>
          <w:cantSplit/>
        </w:trPr>
        <w:tc>
          <w:tcPr>
            <w:tcW w:type="dxa" w:w="3539"/>
            <w:shd w:val="clear" w:color="auto" w:fill="F2F5F8"/>
          </w:tcPr>
          <w:p>
            <w:pPr>
              <w:spacing w:after="0"/>
              <w:jc w:val="left"/>
            </w:pPr>
            <w:r/>
            <w:r>
              <w:rPr>
                <w:rFonts w:ascii="Calibri" w:hAnsi="Calibri"/>
                <w:b w:val="0"/>
                <w:color w:val="1A1A1A"/>
                <w:sz w:val="24"/>
              </w:rPr>
              <w:t>Ciclo</w:t>
            </w:r>
          </w:p>
        </w:tc>
        <w:tc>
          <w:tcPr>
            <w:tcW w:type="dxa" w:w="5533"/>
            <w:shd w:val="clear" w:color="auto" w:fill="F2F5F8"/>
          </w:tcPr>
          <w:p>
            <w:pPr>
              <w:spacing w:after="0"/>
              <w:jc w:val="left"/>
            </w:pPr>
            <w:r/>
            <w:r>
              <w:rPr>
                <w:rFonts w:ascii="Calibri" w:hAnsi="Calibri"/>
                <w:b w:val="0"/>
                <w:color w:val="1A1A1A"/>
                <w:sz w:val="24"/>
              </w:rPr>
              <w:t>Julho a dezembro de 2026</w:t>
            </w:r>
          </w:p>
        </w:tc>
      </w:tr>
      <w:tr>
        <w:trPr>
          <w:cantSplit/>
        </w:trPr>
        <w:tc>
          <w:tcPr>
            <w:tcW w:type="dxa" w:w="3539"/>
          </w:tcPr>
          <w:p>
            <w:pPr>
              <w:spacing w:after="0"/>
              <w:jc w:val="left"/>
            </w:pPr>
            <w:r/>
            <w:r>
              <w:rPr>
                <w:rFonts w:ascii="Calibri" w:hAnsi="Calibri"/>
                <w:b w:val="0"/>
                <w:color w:val="1A1A1A"/>
                <w:sz w:val="24"/>
              </w:rPr>
              <w:t>Natureza</w:t>
            </w:r>
          </w:p>
        </w:tc>
        <w:tc>
          <w:tcPr>
            <w:tcW w:type="dxa" w:w="5533"/>
          </w:tcPr>
          <w:p>
            <w:pPr>
              <w:spacing w:after="0"/>
              <w:jc w:val="left"/>
            </w:pPr>
            <w:r/>
            <w:r>
              <w:rPr>
                <w:rFonts w:ascii="Calibri" w:hAnsi="Calibri"/>
                <w:b w:val="0"/>
                <w:color w:val="1A1A1A"/>
                <w:sz w:val="24"/>
              </w:rPr>
              <w:t>Técnico-científica e consultiva</w:t>
            </w:r>
          </w:p>
        </w:tc>
      </w:tr>
      <w:tr>
        <w:trPr>
          <w:cantSplit/>
        </w:trPr>
        <w:tc>
          <w:tcPr>
            <w:tcW w:type="dxa" w:w="3539"/>
            <w:shd w:val="clear" w:color="auto" w:fill="F2F5F8"/>
          </w:tcPr>
          <w:p>
            <w:pPr>
              <w:spacing w:after="0"/>
              <w:jc w:val="left"/>
            </w:pPr>
            <w:r/>
            <w:r>
              <w:rPr>
                <w:rFonts w:ascii="Calibri" w:hAnsi="Calibri"/>
                <w:b w:val="0"/>
                <w:color w:val="1A1A1A"/>
                <w:sz w:val="24"/>
              </w:rPr>
              <w:t>Mandato dos membros</w:t>
            </w:r>
          </w:p>
        </w:tc>
        <w:tc>
          <w:tcPr>
            <w:tcW w:type="dxa" w:w="5533"/>
            <w:shd w:val="clear" w:color="auto" w:fill="F2F5F8"/>
          </w:tcPr>
          <w:p>
            <w:pPr>
              <w:spacing w:after="0"/>
              <w:jc w:val="left"/>
            </w:pPr>
            <w:r/>
            <w:r>
              <w:rPr>
                <w:rFonts w:ascii="Calibri" w:hAnsi="Calibri"/>
                <w:b w:val="0"/>
                <w:color w:val="1A1A1A"/>
                <w:sz w:val="24"/>
              </w:rPr>
              <w:t>Honorífico, expirando com o Plenário vigente</w:t>
            </w:r>
          </w:p>
        </w:tc>
      </w:tr>
    </w:tbl>
    <w:p>
      <w:pPr>
        <w:keepNext/>
        <w:spacing w:before="240" w:after="80"/>
        <w:jc w:val="left"/>
      </w:pPr>
      <w:r>
        <w:rPr>
          <w:rFonts w:ascii="Calibri" w:hAnsi="Calibri"/>
          <w:b/>
          <w:color w:val="143C64"/>
          <w:sz w:val="26"/>
        </w:rPr>
        <w:t>2.1  O que o Núcleo faz e o que não faz</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469"/>
        <w:gridCol w:w="4603"/>
      </w:tblGrid>
      <w:tr>
        <w:trPr>
          <w:cantSplit/>
          <w:tblHeader/>
        </w:trPr>
        <w:tc>
          <w:tcPr>
            <w:tcW w:type="dxa" w:w="4469"/>
            <w:shd w:val="clear" w:color="auto" w:fill="143C64"/>
          </w:tcPr>
          <w:p>
            <w:pPr>
              <w:spacing w:after="0"/>
              <w:jc w:val="left"/>
            </w:pPr>
            <w:r/>
            <w:r>
              <w:rPr>
                <w:rFonts w:ascii="Calibri" w:hAnsi="Calibri"/>
                <w:b/>
                <w:color w:val="FFFFFF"/>
                <w:sz w:val="24"/>
              </w:rPr>
              <w:t>Faz</w:t>
            </w:r>
          </w:p>
        </w:tc>
        <w:tc>
          <w:tcPr>
            <w:tcW w:type="dxa" w:w="4603"/>
            <w:shd w:val="clear" w:color="auto" w:fill="143C64"/>
          </w:tcPr>
          <w:p>
            <w:pPr>
              <w:spacing w:after="0"/>
              <w:jc w:val="left"/>
            </w:pPr>
            <w:r/>
            <w:r>
              <w:rPr>
                <w:rFonts w:ascii="Calibri" w:hAnsi="Calibri"/>
                <w:b/>
                <w:color w:val="FFFFFF"/>
                <w:sz w:val="24"/>
              </w:rPr>
              <w:t>Não faz</w:t>
            </w:r>
          </w:p>
        </w:tc>
      </w:tr>
      <w:tr>
        <w:trPr>
          <w:cantSplit/>
        </w:trPr>
        <w:tc>
          <w:tcPr>
            <w:tcW w:type="dxa" w:w="4469"/>
          </w:tcPr>
          <w:p>
            <w:pPr>
              <w:spacing w:after="0"/>
              <w:jc w:val="left"/>
            </w:pPr>
            <w:r/>
            <w:r>
              <w:rPr>
                <w:rFonts w:ascii="Calibri" w:hAnsi="Calibri"/>
                <w:b w:val="0"/>
                <w:color w:val="1A1A1A"/>
                <w:sz w:val="24"/>
              </w:rPr>
              <w:t>Produz estudos, pareceres, notas técnicas e instrumentos orientadores.</w:t>
            </w:r>
          </w:p>
        </w:tc>
        <w:tc>
          <w:tcPr>
            <w:tcW w:type="dxa" w:w="4603"/>
          </w:tcPr>
          <w:p>
            <w:pPr>
              <w:spacing w:after="0"/>
              <w:jc w:val="left"/>
            </w:pPr>
            <w:r/>
            <w:r>
              <w:rPr>
                <w:rFonts w:ascii="Calibri" w:hAnsi="Calibri"/>
                <w:b w:val="0"/>
                <w:color w:val="1A1A1A"/>
                <w:sz w:val="24"/>
              </w:rPr>
              <w:t>Não exerce poder normativo, fiscalizatório ou disciplinar.</w:t>
            </w:r>
          </w:p>
        </w:tc>
      </w:tr>
      <w:tr>
        <w:trPr>
          <w:cantSplit/>
        </w:trPr>
        <w:tc>
          <w:tcPr>
            <w:tcW w:type="dxa" w:w="4469"/>
            <w:shd w:val="clear" w:color="auto" w:fill="F2F5F8"/>
          </w:tcPr>
          <w:p>
            <w:pPr>
              <w:spacing w:after="0"/>
              <w:jc w:val="left"/>
            </w:pPr>
            <w:r/>
            <w:r>
              <w:rPr>
                <w:rFonts w:ascii="Calibri" w:hAnsi="Calibri"/>
                <w:b w:val="0"/>
                <w:color w:val="1A1A1A"/>
                <w:sz w:val="24"/>
              </w:rPr>
              <w:t>Avalia criticamente tecnologias e evidências.</w:t>
            </w:r>
          </w:p>
        </w:tc>
        <w:tc>
          <w:tcPr>
            <w:tcW w:type="dxa" w:w="4603"/>
            <w:shd w:val="clear" w:color="auto" w:fill="F2F5F8"/>
          </w:tcPr>
          <w:p>
            <w:pPr>
              <w:spacing w:after="0"/>
              <w:jc w:val="left"/>
            </w:pPr>
            <w:r/>
            <w:r>
              <w:rPr>
                <w:rFonts w:ascii="Calibri" w:hAnsi="Calibri"/>
                <w:b w:val="0"/>
                <w:color w:val="1A1A1A"/>
                <w:sz w:val="24"/>
              </w:rPr>
              <w:t>Não homologa produtos, marcas ou fornecedores.</w:t>
            </w:r>
          </w:p>
        </w:tc>
      </w:tr>
      <w:tr>
        <w:trPr>
          <w:cantSplit/>
        </w:trPr>
        <w:tc>
          <w:tcPr>
            <w:tcW w:type="dxa" w:w="4469"/>
          </w:tcPr>
          <w:p>
            <w:pPr>
              <w:spacing w:after="0"/>
              <w:jc w:val="left"/>
            </w:pPr>
            <w:r/>
            <w:r>
              <w:rPr>
                <w:rFonts w:ascii="Calibri" w:hAnsi="Calibri"/>
                <w:b w:val="0"/>
                <w:color w:val="1A1A1A"/>
                <w:sz w:val="24"/>
              </w:rPr>
              <w:t>Submete seus produtos à validação da Diretoria Executiva.</w:t>
            </w:r>
          </w:p>
        </w:tc>
        <w:tc>
          <w:tcPr>
            <w:tcW w:type="dxa" w:w="4603"/>
          </w:tcPr>
          <w:p>
            <w:pPr>
              <w:spacing w:after="0"/>
              <w:jc w:val="left"/>
            </w:pPr>
            <w:r/>
            <w:r>
              <w:rPr>
                <w:rFonts w:ascii="Calibri" w:hAnsi="Calibri"/>
                <w:b w:val="0"/>
                <w:color w:val="1A1A1A"/>
                <w:sz w:val="24"/>
              </w:rPr>
              <w:t>Não publica externamente por iniciativa própria.</w:t>
            </w:r>
          </w:p>
        </w:tc>
      </w:tr>
      <w:tr>
        <w:trPr>
          <w:cantSplit/>
        </w:trPr>
        <w:tc>
          <w:tcPr>
            <w:tcW w:type="dxa" w:w="4469"/>
            <w:shd w:val="clear" w:color="auto" w:fill="F2F5F8"/>
          </w:tcPr>
          <w:p>
            <w:pPr>
              <w:spacing w:after="0"/>
              <w:jc w:val="left"/>
            </w:pPr>
            <w:r/>
            <w:r>
              <w:rPr>
                <w:rFonts w:ascii="Calibri" w:hAnsi="Calibri"/>
                <w:b w:val="0"/>
                <w:color w:val="1A1A1A"/>
                <w:sz w:val="24"/>
              </w:rPr>
              <w:t>Registra fatos normativos e judiciais com data e fonte.</w:t>
            </w:r>
          </w:p>
        </w:tc>
        <w:tc>
          <w:tcPr>
            <w:tcW w:type="dxa" w:w="4603"/>
            <w:shd w:val="clear" w:color="auto" w:fill="F2F5F8"/>
          </w:tcPr>
          <w:p>
            <w:pPr>
              <w:spacing w:after="0"/>
              <w:jc w:val="left"/>
            </w:pPr>
            <w:r/>
            <w:r>
              <w:rPr>
                <w:rFonts w:ascii="Calibri" w:hAnsi="Calibri"/>
                <w:b w:val="0"/>
                <w:color w:val="1A1A1A"/>
                <w:sz w:val="24"/>
              </w:rPr>
              <w:t>Não se manifesta sobre o mérito de controvérsias judiciais em curso.</w:t>
            </w:r>
          </w:p>
        </w:tc>
      </w:tr>
      <w:tr>
        <w:trPr>
          <w:cantSplit/>
        </w:trPr>
        <w:tc>
          <w:tcPr>
            <w:tcW w:type="dxa" w:w="4469"/>
          </w:tcPr>
          <w:p>
            <w:pPr>
              <w:spacing w:after="0"/>
              <w:jc w:val="left"/>
            </w:pPr>
            <w:r/>
            <w:r>
              <w:rPr>
                <w:rFonts w:ascii="Calibri" w:hAnsi="Calibri"/>
                <w:b w:val="0"/>
                <w:color w:val="1A1A1A"/>
                <w:sz w:val="24"/>
              </w:rPr>
              <w:t>Declara lacunas e recusa-se a preencher o que não sabe.</w:t>
            </w:r>
          </w:p>
        </w:tc>
        <w:tc>
          <w:tcPr>
            <w:tcW w:type="dxa" w:w="4603"/>
          </w:tcPr>
          <w:p>
            <w:pPr>
              <w:spacing w:after="0"/>
              <w:jc w:val="left"/>
            </w:pPr>
            <w:r/>
            <w:r>
              <w:rPr>
                <w:rFonts w:ascii="Calibri" w:hAnsi="Calibri"/>
                <w:b w:val="0"/>
                <w:color w:val="1A1A1A"/>
                <w:sz w:val="24"/>
              </w:rPr>
              <w:t>Não converte ausência de dados em afirmação de segurança.</w:t>
            </w:r>
          </w:p>
        </w:tc>
      </w:tr>
    </w:tbl>
    <w:p>
      <w:pPr>
        <w:keepNext/>
        <w:spacing w:before="360" w:after="160"/>
        <w:jc w:val="left"/>
        <w:pBdr>
          <w:bottom w:val="single" w:sz="8" w:space="4" w:color="143C64"/>
        </w:pBdr>
      </w:pPr>
      <w:r>
        <w:rPr>
          <w:rFonts w:ascii="Calibri" w:hAnsi="Calibri"/>
          <w:b/>
          <w:color w:val="143C64"/>
          <w:sz w:val="30"/>
        </w:rPr>
        <w:t>3  Arquitetura consolidada</w:t>
      </w:r>
    </w:p>
    <w:p>
      <w:pPr>
        <w:spacing w:after="120"/>
        <w:jc w:val="both"/>
      </w:pPr>
      <w:r>
        <w:rPr>
          <w:rFonts w:ascii="Calibri" w:hAnsi="Calibri"/>
          <w:b w:val="0"/>
          <w:i w:val="0"/>
          <w:color w:val="1A1A1A"/>
          <w:sz w:val="24"/>
        </w:rPr>
        <w:t>A produção do ciclo está organizada em dois eixos que convergem em um sistema comum de governança documental. Nenhum produto existe fora dessa estrutura, e a coerência entre eles é verificável documento a documento.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299"/>
        <w:gridCol w:w="2903"/>
        <w:gridCol w:w="3870"/>
      </w:tblGrid>
      <w:tr>
        <w:trPr>
          <w:cantSplit/>
          <w:tblHeader/>
        </w:trPr>
        <w:tc>
          <w:tcPr>
            <w:tcW w:type="dxa" w:w="2299"/>
            <w:shd w:val="clear" w:color="auto" w:fill="143C64"/>
          </w:tcPr>
          <w:p>
            <w:pPr>
              <w:spacing w:after="0"/>
              <w:jc w:val="left"/>
            </w:pPr>
            <w:r/>
            <w:r>
              <w:rPr>
                <w:rFonts w:ascii="Calibri" w:hAnsi="Calibri"/>
                <w:b/>
                <w:color w:val="FFFFFF"/>
                <w:sz w:val="24"/>
              </w:rPr>
              <w:t>Eixo</w:t>
            </w:r>
          </w:p>
        </w:tc>
        <w:tc>
          <w:tcPr>
            <w:tcW w:type="dxa" w:w="2903"/>
            <w:shd w:val="clear" w:color="auto" w:fill="143C64"/>
          </w:tcPr>
          <w:p>
            <w:pPr>
              <w:spacing w:after="0"/>
              <w:jc w:val="left"/>
            </w:pPr>
            <w:r/>
            <w:r>
              <w:rPr>
                <w:rFonts w:ascii="Calibri" w:hAnsi="Calibri"/>
                <w:b/>
                <w:color w:val="FFFFFF"/>
                <w:sz w:val="24"/>
              </w:rPr>
              <w:t>Pergunta que responde</w:t>
            </w:r>
          </w:p>
        </w:tc>
        <w:tc>
          <w:tcPr>
            <w:tcW w:type="dxa" w:w="3870"/>
            <w:shd w:val="clear" w:color="auto" w:fill="143C64"/>
          </w:tcPr>
          <w:p>
            <w:pPr>
              <w:spacing w:after="0"/>
              <w:jc w:val="left"/>
            </w:pPr>
            <w:r/>
            <w:r>
              <w:rPr>
                <w:rFonts w:ascii="Calibri" w:hAnsi="Calibri"/>
                <w:b/>
                <w:color w:val="FFFFFF"/>
                <w:sz w:val="24"/>
              </w:rPr>
              <w:t>Produtos que o materializam</w:t>
            </w:r>
          </w:p>
        </w:tc>
      </w:tr>
      <w:tr>
        <w:trPr>
          <w:cantSplit/>
        </w:trPr>
        <w:tc>
          <w:tcPr>
            <w:tcW w:type="dxa" w:w="2299"/>
          </w:tcPr>
          <w:p>
            <w:pPr>
              <w:spacing w:after="0"/>
              <w:jc w:val="left"/>
            </w:pPr>
            <w:r/>
            <w:r>
              <w:rPr>
                <w:rFonts w:ascii="Calibri" w:hAnsi="Calibri"/>
                <w:b/>
                <w:color w:val="1A1A1A"/>
                <w:sz w:val="24"/>
              </w:rPr>
              <w:t>A. Segurança clínica</w:t>
            </w:r>
          </w:p>
        </w:tc>
        <w:tc>
          <w:tcPr>
            <w:tcW w:type="dxa" w:w="2903"/>
          </w:tcPr>
          <w:p>
            <w:pPr>
              <w:spacing w:after="0"/>
              <w:jc w:val="left"/>
            </w:pPr>
            <w:r/>
            <w:r>
              <w:rPr>
                <w:rFonts w:ascii="Calibri" w:hAnsi="Calibri"/>
                <w:b w:val="0"/>
                <w:color w:val="1A1A1A"/>
                <w:sz w:val="24"/>
              </w:rPr>
              <w:t>Como prevenir, reconhecer cedo, responder e encaminhar?</w:t>
            </w:r>
          </w:p>
        </w:tc>
        <w:tc>
          <w:tcPr>
            <w:tcW w:type="dxa" w:w="3870"/>
          </w:tcPr>
          <w:p>
            <w:pPr>
              <w:spacing w:after="0"/>
              <w:jc w:val="left"/>
            </w:pPr>
            <w:r/>
            <w:r>
              <w:rPr>
                <w:rFonts w:ascii="Calibri" w:hAnsi="Calibri"/>
                <w:b w:val="0"/>
                <w:color w:val="1A1A1A"/>
                <w:sz w:val="24"/>
              </w:rPr>
              <w:t>Checklist, fluxograma, guia de diagnóstico precoce, cartões de consulta rápida e vinte e um POPs.</w:t>
            </w:r>
          </w:p>
        </w:tc>
      </w:tr>
      <w:tr>
        <w:trPr>
          <w:cantSplit/>
        </w:trPr>
        <w:tc>
          <w:tcPr>
            <w:tcW w:type="dxa" w:w="2299"/>
            <w:shd w:val="clear" w:color="auto" w:fill="F2F5F8"/>
          </w:tcPr>
          <w:p>
            <w:pPr>
              <w:spacing w:after="0"/>
              <w:jc w:val="left"/>
            </w:pPr>
            <w:r/>
            <w:r>
              <w:rPr>
                <w:rFonts w:ascii="Calibri" w:hAnsi="Calibri"/>
                <w:b/>
                <w:color w:val="1A1A1A"/>
                <w:sz w:val="24"/>
              </w:rPr>
              <w:t>B. Adoção de tecnologia</w:t>
            </w:r>
          </w:p>
        </w:tc>
        <w:tc>
          <w:tcPr>
            <w:tcW w:type="dxa" w:w="2903"/>
            <w:shd w:val="clear" w:color="auto" w:fill="F2F5F8"/>
          </w:tcPr>
          <w:p>
            <w:pPr>
              <w:spacing w:after="0"/>
              <w:jc w:val="left"/>
            </w:pPr>
            <w:r/>
            <w:r>
              <w:rPr>
                <w:rFonts w:ascii="Calibri" w:hAnsi="Calibri"/>
                <w:b w:val="0"/>
                <w:color w:val="1A1A1A"/>
                <w:sz w:val="24"/>
              </w:rPr>
              <w:t>Como decidir se uma tecnologia deve ser adotada, e sob que condições?</w:t>
            </w:r>
          </w:p>
        </w:tc>
        <w:tc>
          <w:tcPr>
            <w:tcW w:type="dxa" w:w="3870"/>
            <w:shd w:val="clear" w:color="auto" w:fill="F2F5F8"/>
          </w:tcPr>
          <w:p>
            <w:pPr>
              <w:spacing w:after="0"/>
              <w:jc w:val="left"/>
            </w:pPr>
            <w:r/>
            <w:r>
              <w:rPr>
                <w:rFonts w:ascii="Calibri" w:hAnsi="Calibri"/>
                <w:b w:val="0"/>
                <w:color w:val="1A1A1A"/>
                <w:sz w:val="24"/>
              </w:rPr>
              <w:t>Matriz de avaliação em oito dimensões, manual de boas práticas, relatório-piloto e política de dados.</w:t>
            </w:r>
          </w:p>
        </w:tc>
      </w:tr>
      <w:tr>
        <w:trPr>
          <w:cantSplit/>
        </w:trPr>
        <w:tc>
          <w:tcPr>
            <w:tcW w:type="dxa" w:w="2299"/>
          </w:tcPr>
          <w:p>
            <w:pPr>
              <w:spacing w:after="0"/>
              <w:jc w:val="left"/>
            </w:pPr>
            <w:r/>
            <w:r>
              <w:rPr>
                <w:rFonts w:ascii="Calibri" w:hAnsi="Calibri"/>
                <w:b/>
                <w:color w:val="1A1A1A"/>
                <w:sz w:val="24"/>
              </w:rPr>
              <w:t>Base</w:t>
            </w:r>
          </w:p>
        </w:tc>
        <w:tc>
          <w:tcPr>
            <w:tcW w:type="dxa" w:w="2903"/>
          </w:tcPr>
          <w:p>
            <w:pPr>
              <w:spacing w:after="0"/>
              <w:jc w:val="left"/>
            </w:pPr>
            <w:r/>
            <w:r>
              <w:rPr>
                <w:rFonts w:ascii="Calibri" w:hAnsi="Calibri"/>
                <w:b w:val="0"/>
                <w:color w:val="1A1A1A"/>
                <w:sz w:val="24"/>
              </w:rPr>
              <w:t>Que norma e que evidência sustentam cada afirmação?</w:t>
            </w:r>
          </w:p>
        </w:tc>
        <w:tc>
          <w:tcPr>
            <w:tcW w:type="dxa" w:w="3870"/>
          </w:tcPr>
          <w:p>
            <w:pPr>
              <w:spacing w:after="0"/>
              <w:jc w:val="left"/>
            </w:pPr>
            <w:r/>
            <w:r>
              <w:rPr>
                <w:rFonts w:ascii="Calibri" w:hAnsi="Calibri"/>
                <w:b w:val="0"/>
                <w:color w:val="1A1A1A"/>
                <w:sz w:val="24"/>
              </w:rPr>
              <w:t>Mapa normativo, matriz de evidências, protocolo de levantamento e nota técnica de conformidade.</w:t>
            </w:r>
          </w:p>
        </w:tc>
      </w:tr>
      <w:tr>
        <w:trPr>
          <w:cantSplit/>
        </w:trPr>
        <w:tc>
          <w:tcPr>
            <w:tcW w:type="dxa" w:w="2299"/>
            <w:shd w:val="clear" w:color="auto" w:fill="F2F5F8"/>
          </w:tcPr>
          <w:p>
            <w:pPr>
              <w:spacing w:after="0"/>
              <w:jc w:val="left"/>
            </w:pPr>
            <w:r/>
            <w:r>
              <w:rPr>
                <w:rFonts w:ascii="Calibri" w:hAnsi="Calibri"/>
                <w:b/>
                <w:color w:val="1A1A1A"/>
                <w:sz w:val="24"/>
              </w:rPr>
              <w:t>Governança</w:t>
            </w:r>
          </w:p>
        </w:tc>
        <w:tc>
          <w:tcPr>
            <w:tcW w:type="dxa" w:w="2903"/>
            <w:shd w:val="clear" w:color="auto" w:fill="F2F5F8"/>
          </w:tcPr>
          <w:p>
            <w:pPr>
              <w:spacing w:after="0"/>
              <w:jc w:val="left"/>
            </w:pPr>
            <w:r/>
            <w:r>
              <w:rPr>
                <w:rFonts w:ascii="Calibri" w:hAnsi="Calibri"/>
                <w:b w:val="0"/>
                <w:color w:val="1A1A1A"/>
                <w:sz w:val="24"/>
              </w:rPr>
              <w:t>Quem decide, quem valida, o que fica registrado?</w:t>
            </w:r>
          </w:p>
        </w:tc>
        <w:tc>
          <w:tcPr>
            <w:tcW w:type="dxa" w:w="3870"/>
            <w:shd w:val="clear" w:color="auto" w:fill="F2F5F8"/>
          </w:tcPr>
          <w:p>
            <w:pPr>
              <w:spacing w:after="0"/>
              <w:jc w:val="left"/>
            </w:pPr>
            <w:r/>
            <w:r>
              <w:rPr>
                <w:rFonts w:ascii="Calibri" w:hAnsi="Calibri"/>
                <w:b w:val="0"/>
                <w:color w:val="1A1A1A"/>
                <w:sz w:val="24"/>
              </w:rPr>
              <w:t>Programa-quadro, auditoria técnica, quadro de deliberação, caderno de atas e dossiê de submissão.</w:t>
            </w:r>
          </w:p>
        </w:tc>
      </w:tr>
      <w:tr>
        <w:trPr>
          <w:cantSplit/>
        </w:trPr>
        <w:tc>
          <w:tcPr>
            <w:tcW w:type="dxa" w:w="2299"/>
          </w:tcPr>
          <w:p>
            <w:pPr>
              <w:spacing w:after="0"/>
              <w:jc w:val="left"/>
            </w:pPr>
            <w:r/>
            <w:r>
              <w:rPr>
                <w:rFonts w:ascii="Calibri" w:hAnsi="Calibri"/>
                <w:b/>
                <w:color w:val="1A1A1A"/>
                <w:sz w:val="24"/>
              </w:rPr>
              <w:t>Aplicação</w:t>
            </w:r>
          </w:p>
        </w:tc>
        <w:tc>
          <w:tcPr>
            <w:tcW w:type="dxa" w:w="2903"/>
          </w:tcPr>
          <w:p>
            <w:pPr>
              <w:spacing w:after="0"/>
              <w:jc w:val="left"/>
            </w:pPr>
            <w:r/>
            <w:r>
              <w:rPr>
                <w:rFonts w:ascii="Calibri" w:hAnsi="Calibri"/>
                <w:b w:val="0"/>
                <w:color w:val="1A1A1A"/>
                <w:sz w:val="24"/>
              </w:rPr>
              <w:t>Como isso vira prática de consultório e como se comunica?</w:t>
            </w:r>
          </w:p>
        </w:tc>
        <w:tc>
          <w:tcPr>
            <w:tcW w:type="dxa" w:w="3870"/>
          </w:tcPr>
          <w:p>
            <w:pPr>
              <w:spacing w:after="0"/>
              <w:jc w:val="left"/>
            </w:pPr>
            <w:r/>
            <w:r>
              <w:rPr>
                <w:rFonts w:ascii="Calibri" w:hAnsi="Calibri"/>
                <w:b w:val="0"/>
                <w:color w:val="1A1A1A"/>
                <w:sz w:val="24"/>
              </w:rPr>
              <w:t>Guia de implantação, termos de consentimento, instrumentos operacionais e o conjunto de comunicação.</w:t>
            </w:r>
          </w:p>
        </w:tc>
      </w:tr>
    </w:tbl>
    <w:p>
      <w:r>
        <w:br w:type="page"/>
      </w:r>
    </w:p>
    <w:p>
      <w:pPr>
        <w:keepNext/>
        <w:spacing w:before="360" w:after="160"/>
        <w:jc w:val="left"/>
        <w:pBdr>
          <w:bottom w:val="single" w:sz="8" w:space="4" w:color="143C64"/>
        </w:pBdr>
      </w:pPr>
      <w:r>
        <w:rPr>
          <w:rFonts w:ascii="Calibri" w:hAnsi="Calibri"/>
          <w:b/>
          <w:color w:val="143C64"/>
          <w:sz w:val="30"/>
        </w:rPr>
        <w:t>4  Decisões técnicas que estruturaram o pacote</w:t>
      </w:r>
    </w:p>
    <w:p>
      <w:pPr>
        <w:spacing w:after="120"/>
        <w:jc w:val="both"/>
      </w:pPr>
      <w:r>
        <w:rPr>
          <w:rFonts w:ascii="Calibri" w:hAnsi="Calibri"/>
          <w:b w:val="0"/>
          <w:i w:val="0"/>
          <w:color w:val="1A1A1A"/>
          <w:sz w:val="24"/>
        </w:rPr>
        <w:t>As decisões abaixo não são preferências de estilo. Cada uma resolve um problema concreto e determina como o conjunto se comporta diante de leitura crítica, de mudança normativa e de uso na prática.</w:t>
      </w:r>
    </w:p>
    <w:p>
      <w:pPr>
        <w:keepNext/>
        <w:spacing w:before="240" w:after="80"/>
        <w:jc w:val="left"/>
      </w:pPr>
      <w:r>
        <w:rPr>
          <w:rFonts w:ascii="Calibri" w:hAnsi="Calibri"/>
          <w:b/>
          <w:color w:val="143C64"/>
          <w:sz w:val="26"/>
        </w:rPr>
        <w:t>Ancoragem sanitária, e não em resolução de especialidade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489"/>
        <w:gridCol w:w="6583"/>
      </w:tblGrid>
      <w:tr>
        <w:trPr>
          <w:cantSplit/>
          <w:tblHeader/>
        </w:trPr>
        <w:tc>
          <w:tcPr>
            <w:tcW w:type="dxa" w:w="2489"/>
            <w:shd w:val="clear" w:color="auto" w:fill="143C64"/>
          </w:tcPr>
          <w:p>
            <w:pPr>
              <w:spacing w:after="0"/>
              <w:jc w:val="left"/>
            </w:pPr>
            <w:r/>
            <w:r>
              <w:rPr>
                <w:rFonts w:ascii="Calibri" w:hAnsi="Calibri"/>
                <w:b/>
                <w:color w:val="FFFFFF"/>
                <w:sz w:val="24"/>
              </w:rPr>
              <w:t>Elemento</w:t>
            </w:r>
          </w:p>
        </w:tc>
        <w:tc>
          <w:tcPr>
            <w:tcW w:type="dxa" w:w="6583"/>
            <w:shd w:val="clear" w:color="auto" w:fill="143C64"/>
          </w:tcPr>
          <w:p>
            <w:pPr>
              <w:spacing w:after="0"/>
              <w:jc w:val="left"/>
            </w:pPr>
            <w:r/>
            <w:r>
              <w:rPr>
                <w:rFonts w:ascii="Calibri" w:hAnsi="Calibri"/>
                <w:b/>
                <w:color w:val="FFFFFF"/>
                <w:sz w:val="24"/>
              </w:rPr>
              <w:t>Conteúdo</w:t>
            </w:r>
          </w:p>
        </w:tc>
      </w:tr>
      <w:tr>
        <w:trPr>
          <w:cantSplit/>
        </w:trPr>
        <w:tc>
          <w:tcPr>
            <w:tcW w:type="dxa" w:w="2489"/>
          </w:tcPr>
          <w:p>
            <w:pPr>
              <w:spacing w:after="0"/>
              <w:jc w:val="left"/>
            </w:pPr>
            <w:r/>
            <w:r>
              <w:rPr>
                <w:rFonts w:ascii="Calibri" w:hAnsi="Calibri"/>
                <w:b/>
                <w:color w:val="1A1A1A"/>
                <w:sz w:val="24"/>
              </w:rPr>
              <w:t>O que foi decidido</w:t>
            </w:r>
          </w:p>
        </w:tc>
        <w:tc>
          <w:tcPr>
            <w:tcW w:type="dxa" w:w="6583"/>
          </w:tcPr>
          <w:p>
            <w:pPr>
              <w:spacing w:after="0"/>
              <w:jc w:val="left"/>
            </w:pPr>
            <w:r/>
            <w:r>
              <w:rPr>
                <w:rFonts w:ascii="Calibri" w:hAnsi="Calibri"/>
                <w:b w:val="0"/>
                <w:color w:val="1A1A1A"/>
                <w:sz w:val="24"/>
              </w:rPr>
              <w:t>A exigência de POP e da série documental do serviço decorre diretamente da RDC Anvisa nº 1.002/2025, artigo 110, que determina ao Responsável Técnico elaborar e implementar a Série de Documentos de Boas Práticas de Funcionamento.</w:t>
            </w:r>
          </w:p>
        </w:tc>
      </w:tr>
      <w:tr>
        <w:trPr>
          <w:cantSplit/>
        </w:trPr>
        <w:tc>
          <w:tcPr>
            <w:tcW w:type="dxa" w:w="2489"/>
            <w:shd w:val="clear" w:color="auto" w:fill="F2F5F8"/>
          </w:tcPr>
          <w:p>
            <w:pPr>
              <w:spacing w:after="0"/>
              <w:jc w:val="left"/>
            </w:pPr>
            <w:r/>
            <w:r>
              <w:rPr>
                <w:rFonts w:ascii="Calibri" w:hAnsi="Calibri"/>
                <w:b/>
                <w:color w:val="1A1A1A"/>
                <w:sz w:val="24"/>
              </w:rPr>
              <w:t>Por que</w:t>
            </w:r>
          </w:p>
        </w:tc>
        <w:tc>
          <w:tcPr>
            <w:tcW w:type="dxa" w:w="6583"/>
            <w:shd w:val="clear" w:color="auto" w:fill="F2F5F8"/>
          </w:tcPr>
          <w:p>
            <w:pPr>
              <w:spacing w:after="0"/>
              <w:jc w:val="left"/>
            </w:pPr>
            <w:r/>
            <w:r>
              <w:rPr>
                <w:rFonts w:ascii="Calibri" w:hAnsi="Calibri"/>
                <w:b w:val="0"/>
                <w:color w:val="1A1A1A"/>
                <w:sz w:val="24"/>
              </w:rPr>
              <w:t>O pacote permanece íntegro independentemente do desfecho das controvérsias judiciais sobre a camada de exercício profissional, registradas na seção 7.</w:t>
            </w:r>
          </w:p>
        </w:tc>
      </w:tr>
    </w:tbl>
    <w:p>
      <w:pPr>
        <w:keepNext/>
        <w:spacing w:before="240" w:after="80"/>
        <w:jc w:val="left"/>
      </w:pPr>
      <w:r>
        <w:rPr>
          <w:rFonts w:ascii="Calibri" w:hAnsi="Calibri"/>
          <w:b/>
          <w:color w:val="143C64"/>
          <w:sz w:val="26"/>
        </w:rPr>
        <w:t>Matriz de avaliação em oito dimensões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49"/>
        <w:gridCol w:w="6523"/>
      </w:tblGrid>
      <w:tr>
        <w:trPr>
          <w:cantSplit/>
          <w:tblHeader/>
        </w:trPr>
        <w:tc>
          <w:tcPr>
            <w:tcW w:type="dxa" w:w="2549"/>
            <w:shd w:val="clear" w:color="auto" w:fill="143C64"/>
          </w:tcPr>
          <w:p>
            <w:pPr>
              <w:spacing w:after="0"/>
              <w:jc w:val="left"/>
            </w:pPr>
            <w:r/>
            <w:r>
              <w:rPr>
                <w:rFonts w:ascii="Calibri" w:hAnsi="Calibri"/>
                <w:b/>
                <w:color w:val="FFFFFF"/>
                <w:sz w:val="24"/>
              </w:rPr>
              <w:t>Elemento</w:t>
            </w:r>
          </w:p>
        </w:tc>
        <w:tc>
          <w:tcPr>
            <w:tcW w:type="dxa" w:w="6523"/>
            <w:shd w:val="clear" w:color="auto" w:fill="143C64"/>
          </w:tcPr>
          <w:p>
            <w:pPr>
              <w:spacing w:after="0"/>
              <w:jc w:val="left"/>
            </w:pPr>
            <w:r/>
            <w:r>
              <w:rPr>
                <w:rFonts w:ascii="Calibri" w:hAnsi="Calibri"/>
                <w:b/>
                <w:color w:val="FFFFFF"/>
                <w:sz w:val="24"/>
              </w:rPr>
              <w:t>Conteúdo</w:t>
            </w:r>
          </w:p>
        </w:tc>
      </w:tr>
      <w:tr>
        <w:trPr>
          <w:cantSplit/>
        </w:trPr>
        <w:tc>
          <w:tcPr>
            <w:tcW w:type="dxa" w:w="2549"/>
          </w:tcPr>
          <w:p>
            <w:pPr>
              <w:spacing w:after="0"/>
              <w:jc w:val="left"/>
            </w:pPr>
            <w:r/>
            <w:r>
              <w:rPr>
                <w:rFonts w:ascii="Calibri" w:hAnsi="Calibri"/>
                <w:b/>
                <w:color w:val="1A1A1A"/>
                <w:sz w:val="24"/>
              </w:rPr>
              <w:t>O que foi decidido</w:t>
            </w:r>
          </w:p>
        </w:tc>
        <w:tc>
          <w:tcPr>
            <w:tcW w:type="dxa" w:w="6523"/>
          </w:tcPr>
          <w:p>
            <w:pPr>
              <w:spacing w:after="0"/>
              <w:jc w:val="left"/>
            </w:pPr>
            <w:r/>
            <w:r>
              <w:rPr>
                <w:rFonts w:ascii="Calibri" w:hAnsi="Calibri"/>
                <w:b w:val="0"/>
                <w:color w:val="1A1A1A"/>
                <w:sz w:val="24"/>
              </w:rPr>
              <w:t>Às seis dimensões iniciais foram acrescentadas capacitação e infraestrutura, e governança de dados.</w:t>
            </w:r>
          </w:p>
        </w:tc>
      </w:tr>
      <w:tr>
        <w:trPr>
          <w:cantSplit/>
        </w:trPr>
        <w:tc>
          <w:tcPr>
            <w:tcW w:type="dxa" w:w="2549"/>
            <w:shd w:val="clear" w:color="auto" w:fill="F2F5F8"/>
          </w:tcPr>
          <w:p>
            <w:pPr>
              <w:spacing w:after="0"/>
              <w:jc w:val="left"/>
            </w:pPr>
            <w:r/>
            <w:r>
              <w:rPr>
                <w:rFonts w:ascii="Calibri" w:hAnsi="Calibri"/>
                <w:b/>
                <w:color w:val="1A1A1A"/>
                <w:sz w:val="24"/>
              </w:rPr>
              <w:t>Por que</w:t>
            </w:r>
          </w:p>
        </w:tc>
        <w:tc>
          <w:tcPr>
            <w:tcW w:type="dxa" w:w="6523"/>
            <w:shd w:val="clear" w:color="auto" w:fill="F2F5F8"/>
          </w:tcPr>
          <w:p>
            <w:pPr>
              <w:spacing w:after="0"/>
              <w:jc w:val="left"/>
            </w:pPr>
            <w:r/>
            <w:r>
              <w:rPr>
                <w:rFonts w:ascii="Calibri" w:hAnsi="Calibri"/>
                <w:b w:val="0"/>
                <w:color w:val="1A1A1A"/>
                <w:sz w:val="24"/>
              </w:rPr>
              <w:t>Nas tecnologias de energia o risco material está no treinamento e nos recursos de contingência, não no equipamento. Nas de imagem e software, está no tratamento de dados. Uma grade sem essas perguntas aprovaria adoções que não deveria.</w:t>
            </w:r>
          </w:p>
        </w:tc>
      </w:tr>
    </w:tbl>
    <w:p>
      <w:pPr>
        <w:keepNext/>
        <w:spacing w:before="240" w:after="80"/>
        <w:jc w:val="left"/>
      </w:pPr>
      <w:r>
        <w:rPr>
          <w:rFonts w:ascii="Calibri" w:hAnsi="Calibri"/>
          <w:b/>
          <w:color w:val="143C64"/>
          <w:sz w:val="26"/>
        </w:rPr>
        <w:t>POPs fechados em processo, com parâmetro por produto em aberto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608"/>
        <w:gridCol w:w="6463"/>
      </w:tblGrid>
      <w:tr>
        <w:trPr>
          <w:cantSplit/>
          <w:tblHeader/>
        </w:trPr>
        <w:tc>
          <w:tcPr>
            <w:tcW w:type="dxa" w:w="2608"/>
            <w:shd w:val="clear" w:color="auto" w:fill="143C64"/>
          </w:tcPr>
          <w:p>
            <w:pPr>
              <w:spacing w:after="0"/>
              <w:jc w:val="left"/>
            </w:pPr>
            <w:r/>
            <w:r>
              <w:rPr>
                <w:rFonts w:ascii="Calibri" w:hAnsi="Calibri"/>
                <w:b/>
                <w:color w:val="FFFFFF"/>
                <w:sz w:val="24"/>
              </w:rPr>
              <w:t>Elemento</w:t>
            </w:r>
          </w:p>
        </w:tc>
        <w:tc>
          <w:tcPr>
            <w:tcW w:type="dxa" w:w="6463"/>
            <w:shd w:val="clear" w:color="auto" w:fill="143C64"/>
          </w:tcPr>
          <w:p>
            <w:pPr>
              <w:spacing w:after="0"/>
              <w:jc w:val="left"/>
            </w:pPr>
            <w:r/>
            <w:r>
              <w:rPr>
                <w:rFonts w:ascii="Calibri" w:hAnsi="Calibri"/>
                <w:b/>
                <w:color w:val="FFFFFF"/>
                <w:sz w:val="24"/>
              </w:rPr>
              <w:t>Conteúdo</w:t>
            </w:r>
          </w:p>
        </w:tc>
      </w:tr>
      <w:tr>
        <w:trPr>
          <w:cantSplit/>
        </w:trPr>
        <w:tc>
          <w:tcPr>
            <w:tcW w:type="dxa" w:w="2608"/>
          </w:tcPr>
          <w:p>
            <w:pPr>
              <w:spacing w:after="0"/>
              <w:jc w:val="left"/>
            </w:pPr>
            <w:r/>
            <w:r>
              <w:rPr>
                <w:rFonts w:ascii="Calibri" w:hAnsi="Calibri"/>
                <w:b/>
                <w:color w:val="1A1A1A"/>
                <w:sz w:val="24"/>
              </w:rPr>
              <w:t>O que foi decidido</w:t>
            </w:r>
          </w:p>
        </w:tc>
        <w:tc>
          <w:tcPr>
            <w:tcW w:type="dxa" w:w="6463"/>
          </w:tcPr>
          <w:p>
            <w:pPr>
              <w:spacing w:after="0"/>
              <w:jc w:val="left"/>
            </w:pPr>
            <w:r/>
            <w:r>
              <w:rPr>
                <w:rFonts w:ascii="Calibri" w:hAnsi="Calibri"/>
                <w:b w:val="0"/>
                <w:color w:val="1A1A1A"/>
                <w:sz w:val="24"/>
              </w:rPr>
              <w:t>Os vinte e um POPs trazem os doze campos preenchidos quanto a critério de decisão, verificação, sinal de alerta, escalonamento e registro. Dose, volume, diluição e energia são campo de preenchimento pelo serviço, a partir das instruções de uso do produto adotado.</w:t>
            </w:r>
          </w:p>
        </w:tc>
      </w:tr>
      <w:tr>
        <w:trPr>
          <w:cantSplit/>
        </w:trPr>
        <w:tc>
          <w:tcPr>
            <w:tcW w:type="dxa" w:w="2608"/>
            <w:shd w:val="clear" w:color="auto" w:fill="F2F5F8"/>
          </w:tcPr>
          <w:p>
            <w:pPr>
              <w:spacing w:after="0"/>
              <w:jc w:val="left"/>
            </w:pPr>
            <w:r/>
            <w:r>
              <w:rPr>
                <w:rFonts w:ascii="Calibri" w:hAnsi="Calibri"/>
                <w:b/>
                <w:color w:val="1A1A1A"/>
                <w:sz w:val="24"/>
              </w:rPr>
              <w:t>Por que</w:t>
            </w:r>
          </w:p>
        </w:tc>
        <w:tc>
          <w:tcPr>
            <w:tcW w:type="dxa" w:w="6463"/>
            <w:shd w:val="clear" w:color="auto" w:fill="F2F5F8"/>
          </w:tcPr>
          <w:p>
            <w:pPr>
              <w:spacing w:after="0"/>
              <w:jc w:val="left"/>
            </w:pPr>
            <w:r/>
            <w:r>
              <w:rPr>
                <w:rFonts w:ascii="Calibri" w:hAnsi="Calibri"/>
                <w:b w:val="0"/>
                <w:color w:val="1A1A1A"/>
                <w:sz w:val="24"/>
              </w:rPr>
              <w:t>Um conselho não fixa dose de produto que a clínica ainda não escolheu. POP com número sem produto definido é protocolo sem sustentação.</w:t>
            </w:r>
          </w:p>
        </w:tc>
      </w:tr>
    </w:tbl>
    <w:p>
      <w:pPr>
        <w:keepNext/>
        <w:spacing w:before="240" w:after="80"/>
        <w:jc w:val="left"/>
      </w:pPr>
      <w:r>
        <w:rPr>
          <w:rFonts w:ascii="Calibri" w:hAnsi="Calibri"/>
          <w:b/>
          <w:color w:val="143C64"/>
          <w:sz w:val="26"/>
        </w:rPr>
        <w:t>Legenda de sustentação obrigatória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79"/>
        <w:gridCol w:w="6493"/>
      </w:tblGrid>
      <w:tr>
        <w:trPr>
          <w:cantSplit/>
          <w:tblHeader/>
        </w:trPr>
        <w:tc>
          <w:tcPr>
            <w:tcW w:type="dxa" w:w="2579"/>
            <w:shd w:val="clear" w:color="auto" w:fill="143C64"/>
          </w:tcPr>
          <w:p>
            <w:pPr>
              <w:spacing w:after="0"/>
              <w:jc w:val="left"/>
            </w:pPr>
            <w:r/>
            <w:r>
              <w:rPr>
                <w:rFonts w:ascii="Calibri" w:hAnsi="Calibri"/>
                <w:b/>
                <w:color w:val="FFFFFF"/>
                <w:sz w:val="24"/>
              </w:rPr>
              <w:t>Elemento</w:t>
            </w:r>
          </w:p>
        </w:tc>
        <w:tc>
          <w:tcPr>
            <w:tcW w:type="dxa" w:w="6493"/>
            <w:shd w:val="clear" w:color="auto" w:fill="143C64"/>
          </w:tcPr>
          <w:p>
            <w:pPr>
              <w:spacing w:after="0"/>
              <w:jc w:val="left"/>
            </w:pPr>
            <w:r/>
            <w:r>
              <w:rPr>
                <w:rFonts w:ascii="Calibri" w:hAnsi="Calibri"/>
                <w:b/>
                <w:color w:val="FFFFFF"/>
                <w:sz w:val="24"/>
              </w:rPr>
              <w:t>Conteúdo</w:t>
            </w:r>
          </w:p>
        </w:tc>
      </w:tr>
      <w:tr>
        <w:trPr>
          <w:cantSplit/>
        </w:trPr>
        <w:tc>
          <w:tcPr>
            <w:tcW w:type="dxa" w:w="2579"/>
          </w:tcPr>
          <w:p>
            <w:pPr>
              <w:spacing w:after="0"/>
              <w:jc w:val="left"/>
            </w:pPr>
            <w:r/>
            <w:r>
              <w:rPr>
                <w:rFonts w:ascii="Calibri" w:hAnsi="Calibri"/>
                <w:b/>
                <w:color w:val="1A1A1A"/>
                <w:sz w:val="24"/>
              </w:rPr>
              <w:t>O que foi decidido</w:t>
            </w:r>
          </w:p>
        </w:tc>
        <w:tc>
          <w:tcPr>
            <w:tcW w:type="dxa" w:w="6493"/>
          </w:tcPr>
          <w:p>
            <w:pPr>
              <w:spacing w:after="0"/>
              <w:jc w:val="left"/>
            </w:pPr>
            <w:r/>
            <w:r>
              <w:rPr>
                <w:rFonts w:ascii="Calibri" w:hAnsi="Calibri"/>
                <w:b w:val="0"/>
                <w:color w:val="1A1A1A"/>
                <w:sz w:val="24"/>
              </w:rPr>
              <w:t>Toda afirmação relevante é classificada como exigência normativa, evidência científica, recomendação técnica ou pendência institucional.</w:t>
            </w:r>
          </w:p>
        </w:tc>
      </w:tr>
      <w:tr>
        <w:trPr>
          <w:cantSplit/>
        </w:trPr>
        <w:tc>
          <w:tcPr>
            <w:tcW w:type="dxa" w:w="2579"/>
            <w:shd w:val="clear" w:color="auto" w:fill="F2F5F8"/>
          </w:tcPr>
          <w:p>
            <w:pPr>
              <w:spacing w:after="0"/>
              <w:jc w:val="left"/>
            </w:pPr>
            <w:r/>
            <w:r>
              <w:rPr>
                <w:rFonts w:ascii="Calibri" w:hAnsi="Calibri"/>
                <w:b/>
                <w:color w:val="1A1A1A"/>
                <w:sz w:val="24"/>
              </w:rPr>
              <w:t>Por que</w:t>
            </w:r>
          </w:p>
        </w:tc>
        <w:tc>
          <w:tcPr>
            <w:tcW w:type="dxa" w:w="6493"/>
            <w:shd w:val="clear" w:color="auto" w:fill="F2F5F8"/>
          </w:tcPr>
          <w:p>
            <w:pPr>
              <w:spacing w:after="0"/>
              <w:jc w:val="left"/>
            </w:pPr>
            <w:r/>
            <w:r>
              <w:rPr>
                <w:rFonts w:ascii="Calibri" w:hAnsi="Calibri"/>
                <w:b w:val="0"/>
                <w:color w:val="1A1A1A"/>
                <w:sz w:val="24"/>
              </w:rPr>
              <w:t>Impede que recomendação seja lida como obrigação, e que lacuna de dados seja lida como ausência de risco.</w:t>
            </w:r>
          </w:p>
        </w:tc>
      </w:tr>
    </w:tbl>
    <w:p>
      <w:pPr>
        <w:keepNext/>
        <w:spacing w:before="240" w:after="80"/>
        <w:jc w:val="left"/>
      </w:pPr>
      <w:r>
        <w:rPr>
          <w:rFonts w:ascii="Calibri" w:hAnsi="Calibri"/>
          <w:b/>
          <w:color w:val="143C64"/>
          <w:sz w:val="26"/>
        </w:rPr>
        <w:t>Verificação individual das referências científicas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79"/>
        <w:gridCol w:w="6493"/>
      </w:tblGrid>
      <w:tr>
        <w:trPr>
          <w:cantSplit/>
          <w:tblHeader/>
        </w:trPr>
        <w:tc>
          <w:tcPr>
            <w:tcW w:type="dxa" w:w="2579"/>
            <w:shd w:val="clear" w:color="auto" w:fill="143C64"/>
          </w:tcPr>
          <w:p>
            <w:pPr>
              <w:spacing w:after="0"/>
              <w:jc w:val="left"/>
            </w:pPr>
            <w:r/>
            <w:r>
              <w:rPr>
                <w:rFonts w:ascii="Calibri" w:hAnsi="Calibri"/>
                <w:b/>
                <w:color w:val="FFFFFF"/>
                <w:sz w:val="24"/>
              </w:rPr>
              <w:t>Elemento</w:t>
            </w:r>
          </w:p>
        </w:tc>
        <w:tc>
          <w:tcPr>
            <w:tcW w:type="dxa" w:w="6493"/>
            <w:shd w:val="clear" w:color="auto" w:fill="143C64"/>
          </w:tcPr>
          <w:p>
            <w:pPr>
              <w:spacing w:after="0"/>
              <w:jc w:val="left"/>
            </w:pPr>
            <w:r/>
            <w:r>
              <w:rPr>
                <w:rFonts w:ascii="Calibri" w:hAnsi="Calibri"/>
                <w:b/>
                <w:color w:val="FFFFFF"/>
                <w:sz w:val="24"/>
              </w:rPr>
              <w:t>Conteúdo</w:t>
            </w:r>
          </w:p>
        </w:tc>
      </w:tr>
      <w:tr>
        <w:trPr>
          <w:cantSplit/>
        </w:trPr>
        <w:tc>
          <w:tcPr>
            <w:tcW w:type="dxa" w:w="2579"/>
          </w:tcPr>
          <w:p>
            <w:pPr>
              <w:spacing w:after="0"/>
              <w:jc w:val="left"/>
            </w:pPr>
            <w:r/>
            <w:r>
              <w:rPr>
                <w:rFonts w:ascii="Calibri" w:hAnsi="Calibri"/>
                <w:b/>
                <w:color w:val="1A1A1A"/>
                <w:sz w:val="24"/>
              </w:rPr>
              <w:t>O que foi decidido</w:t>
            </w:r>
          </w:p>
        </w:tc>
        <w:tc>
          <w:tcPr>
            <w:tcW w:type="dxa" w:w="6493"/>
          </w:tcPr>
          <w:p>
            <w:pPr>
              <w:spacing w:after="0"/>
              <w:jc w:val="left"/>
            </w:pPr>
            <w:r/>
            <w:r>
              <w:rPr>
                <w:rFonts w:ascii="Calibri" w:hAnsi="Calibri"/>
                <w:b w:val="0"/>
                <w:color w:val="1A1A1A"/>
                <w:sz w:val="24"/>
              </w:rPr>
              <w:t>Cada referência foi conferida na base PubMed, com identificador, autoria, periódico e desenho do estudo. O registro da verificação consta do documento 12.</w:t>
            </w:r>
          </w:p>
        </w:tc>
      </w:tr>
      <w:tr>
        <w:trPr>
          <w:cantSplit/>
        </w:trPr>
        <w:tc>
          <w:tcPr>
            <w:tcW w:type="dxa" w:w="2579"/>
            <w:shd w:val="clear" w:color="auto" w:fill="F2F5F8"/>
          </w:tcPr>
          <w:p>
            <w:pPr>
              <w:spacing w:after="0"/>
              <w:jc w:val="left"/>
            </w:pPr>
            <w:r/>
            <w:r>
              <w:rPr>
                <w:rFonts w:ascii="Calibri" w:hAnsi="Calibri"/>
                <w:b/>
                <w:color w:val="1A1A1A"/>
                <w:sz w:val="24"/>
              </w:rPr>
              <w:t>Por que</w:t>
            </w:r>
          </w:p>
        </w:tc>
        <w:tc>
          <w:tcPr>
            <w:tcW w:type="dxa" w:w="6493"/>
            <w:shd w:val="clear" w:color="auto" w:fill="F2F5F8"/>
          </w:tcPr>
          <w:p>
            <w:pPr>
              <w:spacing w:after="0"/>
              <w:jc w:val="left"/>
            </w:pPr>
            <w:r/>
            <w:r>
              <w:rPr>
                <w:rFonts w:ascii="Calibri" w:hAnsi="Calibri"/>
                <w:b w:val="0"/>
                <w:color w:val="1A1A1A"/>
                <w:sz w:val="24"/>
              </w:rPr>
              <w:t>A conferência confirmou as referências existentes e localizou duas adicionais pertinentes, que converteram em evidência trechos antes apoiados apenas em recomendação técnica.</w:t>
            </w:r>
          </w:p>
        </w:tc>
      </w:tr>
    </w:tbl>
    <w:p>
      <w:pPr>
        <w:keepNext/>
        <w:spacing w:before="240" w:after="80"/>
        <w:jc w:val="left"/>
      </w:pPr>
      <w:r>
        <w:rPr>
          <w:rFonts w:ascii="Calibri" w:hAnsi="Calibri"/>
          <w:b/>
          <w:color w:val="143C64"/>
          <w:sz w:val="26"/>
        </w:rPr>
        <w:t>Assinatura pública pela Câmara Técnica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79"/>
        <w:gridCol w:w="6493"/>
      </w:tblGrid>
      <w:tr>
        <w:trPr>
          <w:cantSplit/>
          <w:tblHeader/>
        </w:trPr>
        <w:tc>
          <w:tcPr>
            <w:tcW w:type="dxa" w:w="2579"/>
            <w:shd w:val="clear" w:color="auto" w:fill="143C64"/>
          </w:tcPr>
          <w:p>
            <w:pPr>
              <w:spacing w:after="0"/>
              <w:jc w:val="left"/>
            </w:pPr>
            <w:r/>
            <w:r>
              <w:rPr>
                <w:rFonts w:ascii="Calibri" w:hAnsi="Calibri"/>
                <w:b/>
                <w:color w:val="FFFFFF"/>
                <w:sz w:val="24"/>
              </w:rPr>
              <w:t>Elemento</w:t>
            </w:r>
          </w:p>
        </w:tc>
        <w:tc>
          <w:tcPr>
            <w:tcW w:type="dxa" w:w="6493"/>
            <w:shd w:val="clear" w:color="auto" w:fill="143C64"/>
          </w:tcPr>
          <w:p>
            <w:pPr>
              <w:spacing w:after="0"/>
              <w:jc w:val="left"/>
            </w:pPr>
            <w:r/>
            <w:r>
              <w:rPr>
                <w:rFonts w:ascii="Calibri" w:hAnsi="Calibri"/>
                <w:b/>
                <w:color w:val="FFFFFF"/>
                <w:sz w:val="24"/>
              </w:rPr>
              <w:t>Conteúdo</w:t>
            </w:r>
          </w:p>
        </w:tc>
      </w:tr>
      <w:tr>
        <w:trPr>
          <w:cantSplit/>
        </w:trPr>
        <w:tc>
          <w:tcPr>
            <w:tcW w:type="dxa" w:w="2579"/>
          </w:tcPr>
          <w:p>
            <w:pPr>
              <w:spacing w:after="0"/>
              <w:jc w:val="left"/>
            </w:pPr>
            <w:r/>
            <w:r>
              <w:rPr>
                <w:rFonts w:ascii="Calibri" w:hAnsi="Calibri"/>
                <w:b/>
                <w:color w:val="1A1A1A"/>
                <w:sz w:val="24"/>
              </w:rPr>
              <w:t>O que foi decidido</w:t>
            </w:r>
          </w:p>
        </w:tc>
        <w:tc>
          <w:tcPr>
            <w:tcW w:type="dxa" w:w="6493"/>
          </w:tcPr>
          <w:p>
            <w:pPr>
              <w:spacing w:after="0"/>
              <w:jc w:val="left"/>
            </w:pPr>
            <w:r/>
            <w:r>
              <w:rPr>
                <w:rFonts w:ascii="Calibri" w:hAnsi="Calibri"/>
                <w:b w:val="0"/>
                <w:color w:val="1A1A1A"/>
                <w:sz w:val="24"/>
              </w:rPr>
              <w:t>Todo material de face pública é assinado pela Câmara Técnica de Harmonização Orofacial do CRO-MG. A autoria interna por núcleo permanece no controle documental.</w:t>
            </w:r>
          </w:p>
        </w:tc>
      </w:tr>
      <w:tr>
        <w:trPr>
          <w:cantSplit/>
        </w:trPr>
        <w:tc>
          <w:tcPr>
            <w:tcW w:type="dxa" w:w="2579"/>
            <w:shd w:val="clear" w:color="auto" w:fill="F2F5F8"/>
          </w:tcPr>
          <w:p>
            <w:pPr>
              <w:spacing w:after="0"/>
              <w:jc w:val="left"/>
            </w:pPr>
            <w:r/>
            <w:r>
              <w:rPr>
                <w:rFonts w:ascii="Calibri" w:hAnsi="Calibri"/>
                <w:b/>
                <w:color w:val="1A1A1A"/>
                <w:sz w:val="24"/>
              </w:rPr>
              <w:t>Por que</w:t>
            </w:r>
          </w:p>
        </w:tc>
        <w:tc>
          <w:tcPr>
            <w:tcW w:type="dxa" w:w="6493"/>
            <w:shd w:val="clear" w:color="auto" w:fill="F2F5F8"/>
          </w:tcPr>
          <w:p>
            <w:pPr>
              <w:spacing w:after="0"/>
              <w:jc w:val="left"/>
            </w:pPr>
            <w:r/>
            <w:r>
              <w:rPr>
                <w:rFonts w:ascii="Calibri" w:hAnsi="Calibri"/>
                <w:b w:val="0"/>
                <w:color w:val="1A1A1A"/>
                <w:sz w:val="24"/>
              </w:rPr>
              <w:t>Para quem lê, o que confere autoridade é a Câmara Técnica. A divisão interna de trabalho dilui a mensagem sem acrescentar credibilidade.</w:t>
            </w:r>
          </w:p>
        </w:tc>
      </w:tr>
    </w:tbl>
    <w:p>
      <w:pPr>
        <w:keepNext/>
        <w:spacing w:before="240" w:after="80"/>
        <w:jc w:val="left"/>
      </w:pPr>
      <w:r>
        <w:rPr>
          <w:rFonts w:ascii="Calibri" w:hAnsi="Calibri"/>
          <w:b/>
          <w:color w:val="143C64"/>
          <w:sz w:val="26"/>
        </w:rPr>
        <w:t>Numeração como sistema de navegação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668"/>
        <w:gridCol w:w="6404"/>
      </w:tblGrid>
      <w:tr>
        <w:trPr>
          <w:cantSplit/>
          <w:tblHeader/>
        </w:trPr>
        <w:tc>
          <w:tcPr>
            <w:tcW w:type="dxa" w:w="2668"/>
            <w:shd w:val="clear" w:color="auto" w:fill="143C64"/>
          </w:tcPr>
          <w:p>
            <w:pPr>
              <w:spacing w:after="0"/>
              <w:jc w:val="left"/>
            </w:pPr>
            <w:r/>
            <w:r>
              <w:rPr>
                <w:rFonts w:ascii="Calibri" w:hAnsi="Calibri"/>
                <w:b/>
                <w:color w:val="FFFFFF"/>
                <w:sz w:val="24"/>
              </w:rPr>
              <w:t>Elemento</w:t>
            </w:r>
          </w:p>
        </w:tc>
        <w:tc>
          <w:tcPr>
            <w:tcW w:type="dxa" w:w="6404"/>
            <w:shd w:val="clear" w:color="auto" w:fill="143C64"/>
          </w:tcPr>
          <w:p>
            <w:pPr>
              <w:spacing w:after="0"/>
              <w:jc w:val="left"/>
            </w:pPr>
            <w:r/>
            <w:r>
              <w:rPr>
                <w:rFonts w:ascii="Calibri" w:hAnsi="Calibri"/>
                <w:b/>
                <w:color w:val="FFFFFF"/>
                <w:sz w:val="24"/>
              </w:rPr>
              <w:t>Conteúdo</w:t>
            </w:r>
          </w:p>
        </w:tc>
      </w:tr>
      <w:tr>
        <w:trPr>
          <w:cantSplit/>
        </w:trPr>
        <w:tc>
          <w:tcPr>
            <w:tcW w:type="dxa" w:w="2668"/>
          </w:tcPr>
          <w:p>
            <w:pPr>
              <w:spacing w:after="0"/>
              <w:jc w:val="left"/>
            </w:pPr>
            <w:r/>
            <w:r>
              <w:rPr>
                <w:rFonts w:ascii="Calibri" w:hAnsi="Calibri"/>
                <w:b/>
                <w:color w:val="1A1A1A"/>
                <w:sz w:val="24"/>
              </w:rPr>
              <w:t>O que foi decidido</w:t>
            </w:r>
          </w:p>
        </w:tc>
        <w:tc>
          <w:tcPr>
            <w:tcW w:type="dxa" w:w="6404"/>
          </w:tcPr>
          <w:p>
            <w:pPr>
              <w:spacing w:after="0"/>
              <w:jc w:val="left"/>
            </w:pPr>
            <w:r/>
            <w:r>
              <w:rPr>
                <w:rFonts w:ascii="Calibri" w:hAnsi="Calibri"/>
                <w:b w:val="0"/>
                <w:color w:val="1A1A1A"/>
                <w:sz w:val="24"/>
              </w:rPr>
              <w:t>Os documentos são numerados de 00 a 31 e se referenciam entre si por número. A pasta é plana e espelha exatamente essa numeração.</w:t>
            </w:r>
          </w:p>
        </w:tc>
      </w:tr>
      <w:tr>
        <w:trPr>
          <w:cantSplit/>
        </w:trPr>
        <w:tc>
          <w:tcPr>
            <w:tcW w:type="dxa" w:w="2668"/>
            <w:shd w:val="clear" w:color="auto" w:fill="F2F5F8"/>
          </w:tcPr>
          <w:p>
            <w:pPr>
              <w:spacing w:after="0"/>
              <w:jc w:val="left"/>
            </w:pPr>
            <w:r/>
            <w:r>
              <w:rPr>
                <w:rFonts w:ascii="Calibri" w:hAnsi="Calibri"/>
                <w:b/>
                <w:color w:val="1A1A1A"/>
                <w:sz w:val="24"/>
              </w:rPr>
              <w:t>Por que</w:t>
            </w:r>
          </w:p>
        </w:tc>
        <w:tc>
          <w:tcPr>
            <w:tcW w:type="dxa" w:w="6404"/>
            <w:shd w:val="clear" w:color="auto" w:fill="F2F5F8"/>
          </w:tcPr>
          <w:p>
            <w:pPr>
              <w:spacing w:after="0"/>
              <w:jc w:val="left"/>
            </w:pPr>
            <w:r/>
            <w:r>
              <w:rPr>
                <w:rFonts w:ascii="Calibri" w:hAnsi="Calibri"/>
                <w:b w:val="0"/>
                <w:color w:val="1A1A1A"/>
                <w:sz w:val="24"/>
              </w:rPr>
              <w:t>Qualquer integrante encontra um documento citado sem precisar saber a que tema ele pertence. Taxonomia paralela competiria com a numeração em vez de usá-la.</w:t>
            </w:r>
          </w:p>
        </w:tc>
      </w:tr>
    </w:tbl>
    <w:p>
      <w:pPr>
        <w:keepNext/>
        <w:spacing w:before="240" w:after="80"/>
        <w:jc w:val="left"/>
      </w:pPr>
      <w:r>
        <w:rPr>
          <w:rFonts w:ascii="Calibri" w:hAnsi="Calibri"/>
          <w:b/>
          <w:color w:val="143C64"/>
          <w:sz w:val="26"/>
        </w:rPr>
        <w:t>Biblioteca digital que funciona sem conexão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88"/>
        <w:gridCol w:w="6684"/>
      </w:tblGrid>
      <w:tr>
        <w:trPr>
          <w:cantSplit/>
          <w:tblHeader/>
        </w:trPr>
        <w:tc>
          <w:tcPr>
            <w:tcW w:type="dxa" w:w="2388"/>
            <w:shd w:val="clear" w:color="auto" w:fill="143C64"/>
          </w:tcPr>
          <w:p>
            <w:pPr>
              <w:spacing w:after="0"/>
              <w:jc w:val="left"/>
            </w:pPr>
            <w:r/>
            <w:r>
              <w:rPr>
                <w:rFonts w:ascii="Calibri" w:hAnsi="Calibri"/>
                <w:b/>
                <w:color w:val="FFFFFF"/>
                <w:sz w:val="24"/>
              </w:rPr>
              <w:t>Elemento</w:t>
            </w:r>
          </w:p>
        </w:tc>
        <w:tc>
          <w:tcPr>
            <w:tcW w:type="dxa" w:w="6684"/>
            <w:shd w:val="clear" w:color="auto" w:fill="143C64"/>
          </w:tcPr>
          <w:p>
            <w:pPr>
              <w:spacing w:after="0"/>
              <w:jc w:val="left"/>
            </w:pPr>
            <w:r/>
            <w:r>
              <w:rPr>
                <w:rFonts w:ascii="Calibri" w:hAnsi="Calibri"/>
                <w:b/>
                <w:color w:val="FFFFFF"/>
                <w:sz w:val="24"/>
              </w:rPr>
              <w:t>Conteúdo</w:t>
            </w:r>
          </w:p>
        </w:tc>
      </w:tr>
      <w:tr>
        <w:trPr>
          <w:cantSplit/>
        </w:trPr>
        <w:tc>
          <w:tcPr>
            <w:tcW w:type="dxa" w:w="2388"/>
          </w:tcPr>
          <w:p>
            <w:pPr>
              <w:spacing w:after="0"/>
              <w:jc w:val="left"/>
            </w:pPr>
            <w:r/>
            <w:r>
              <w:rPr>
                <w:rFonts w:ascii="Calibri" w:hAnsi="Calibri"/>
                <w:b/>
                <w:color w:val="1A1A1A"/>
                <w:sz w:val="24"/>
              </w:rPr>
              <w:t>O que foi decidido</w:t>
            </w:r>
          </w:p>
        </w:tc>
        <w:tc>
          <w:tcPr>
            <w:tcW w:type="dxa" w:w="6684"/>
          </w:tcPr>
          <w:p>
            <w:pPr>
              <w:spacing w:after="0"/>
              <w:jc w:val="left"/>
            </w:pPr>
            <w:r/>
            <w:r>
              <w:rPr>
                <w:rFonts w:ascii="Calibri" w:hAnsi="Calibri"/>
                <w:b w:val="0"/>
                <w:color w:val="1A1A1A"/>
                <w:sz w:val="24"/>
              </w:rPr>
              <w:t>O arquivo HOF_Segura_Digital.html indexa todo o pacote, com busca e filtro por perfil, e abre a partir da própria pasta.</w:t>
            </w:r>
          </w:p>
        </w:tc>
      </w:tr>
      <w:tr>
        <w:trPr>
          <w:cantSplit/>
        </w:trPr>
        <w:tc>
          <w:tcPr>
            <w:tcW w:type="dxa" w:w="2388"/>
            <w:shd w:val="clear" w:color="auto" w:fill="F2F5F8"/>
          </w:tcPr>
          <w:p>
            <w:pPr>
              <w:spacing w:after="0"/>
              <w:jc w:val="left"/>
            </w:pPr>
            <w:r/>
            <w:r>
              <w:rPr>
                <w:rFonts w:ascii="Calibri" w:hAnsi="Calibri"/>
                <w:b/>
                <w:color w:val="1A1A1A"/>
                <w:sz w:val="24"/>
              </w:rPr>
              <w:t>Por que</w:t>
            </w:r>
          </w:p>
        </w:tc>
        <w:tc>
          <w:tcPr>
            <w:tcW w:type="dxa" w:w="6684"/>
            <w:shd w:val="clear" w:color="auto" w:fill="F2F5F8"/>
          </w:tcPr>
          <w:p>
            <w:pPr>
              <w:spacing w:after="0"/>
              <w:jc w:val="left"/>
            </w:pPr>
            <w:r/>
            <w:r>
              <w:rPr>
                <w:rFonts w:ascii="Calibri" w:hAnsi="Calibri"/>
                <w:b w:val="0"/>
                <w:color w:val="1A1A1A"/>
                <w:sz w:val="24"/>
              </w:rPr>
              <w:t>Estrutura de pastas é armazenamento. A navegação por tema e por perfil vive em software, onde filtrar custa um clique.</w:t>
            </w:r>
          </w:p>
        </w:tc>
      </w:tr>
    </w:tbl>
    <w:p>
      <w:r>
        <w:br w:type="page"/>
      </w:r>
    </w:p>
    <w:p>
      <w:pPr>
        <w:keepNext/>
        <w:spacing w:before="360" w:after="160"/>
        <w:jc w:val="left"/>
        <w:pBdr>
          <w:bottom w:val="single" w:sz="8" w:space="4" w:color="143C64"/>
        </w:pBdr>
      </w:pPr>
      <w:r>
        <w:rPr>
          <w:rFonts w:ascii="Calibri" w:hAnsi="Calibri"/>
          <w:b/>
          <w:color w:val="143C64"/>
          <w:sz w:val="30"/>
        </w:rPr>
        <w:t>5  Produção executada</w:t>
      </w:r>
    </w:p>
    <w:p>
      <w:pPr>
        <w:spacing w:after="120"/>
        <w:jc w:val="both"/>
      </w:pPr>
      <w:r>
        <w:rPr>
          <w:rFonts w:ascii="Calibri" w:hAnsi="Calibri"/>
          <w:b w:val="0"/>
          <w:i w:val="0"/>
          <w:color w:val="1A1A1A"/>
          <w:sz w:val="24"/>
        </w:rPr>
        <w:t>Trinta e dois documentos numerados, vinte e um procedimentos operacionais padrão em arquivo individual e o conjunto de peças de comunicação. O inventário abaixo é o que existe na pasta.</w:t>
      </w:r>
    </w:p>
    <w:p>
      <w:pPr>
        <w:keepNext/>
        <w:spacing w:before="240" w:after="80"/>
        <w:jc w:val="left"/>
      </w:pPr>
      <w:r>
        <w:rPr>
          <w:rFonts w:ascii="Calibri" w:hAnsi="Calibri"/>
          <w:b/>
          <w:color w:val="143C64"/>
          <w:sz w:val="26"/>
        </w:rPr>
        <w:t>DOCUMENTOS</w:t>
      </w:r>
    </w:p>
    <w:p>
      <w:pPr>
        <w:spacing w:after="120"/>
        <w:jc w:val="both"/>
      </w:pPr>
      <w:r>
        <w:rPr>
          <w:rFonts w:ascii="Calibri" w:hAnsi="Calibri"/>
          <w:b w:val="0"/>
          <w:i/>
          <w:color w:val="1A1A1A"/>
          <w:sz w:val="24"/>
        </w:rPr>
        <w:t>Os trinta e dois documentos numerados de 00 a 31, em DOCX e PDF lado a lado.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9072"/>
      </w:tblGrid>
      <w:tr>
        <w:trPr>
          <w:cantSplit/>
          <w:tblHeader/>
        </w:trPr>
        <w:tc>
          <w:tcPr>
            <w:tcW w:type="dxa" w:w="9072"/>
            <w:shd w:val="clear" w:color="auto" w:fill="143C64"/>
          </w:tcPr>
          <w:p>
            <w:pPr>
              <w:spacing w:after="0"/>
              <w:jc w:val="left"/>
            </w:pPr>
            <w:r/>
            <w:r>
              <w:rPr>
                <w:rFonts w:ascii="Calibri" w:hAnsi="Calibri"/>
                <w:b/>
                <w:color w:val="FFFFFF"/>
                <w:sz w:val="24"/>
              </w:rPr>
              <w:t>Conteúdo</w:t>
            </w:r>
          </w:p>
        </w:tc>
      </w:tr>
      <w:tr>
        <w:trPr>
          <w:cantSplit/>
        </w:trPr>
        <w:tc>
          <w:tcPr>
            <w:tcW w:type="dxa" w:w="9072"/>
          </w:tcPr>
          <w:p>
            <w:pPr>
              <w:spacing w:after="0"/>
              <w:jc w:val="left"/>
            </w:pPr>
            <w:r/>
            <w:r>
              <w:rPr>
                <w:rFonts w:ascii="Calibri" w:hAnsi="Calibri"/>
                <w:b w:val="0"/>
                <w:color w:val="1A1A1A"/>
                <w:sz w:val="24"/>
              </w:rPr>
              <w:t>00 Índice Mestre e Controle de Entregas</w:t>
            </w:r>
          </w:p>
        </w:tc>
      </w:tr>
      <w:tr>
        <w:trPr>
          <w:cantSplit/>
        </w:trPr>
        <w:tc>
          <w:tcPr>
            <w:tcW w:type="dxa" w:w="9072"/>
            <w:shd w:val="clear" w:color="auto" w:fill="F2F5F8"/>
          </w:tcPr>
          <w:p>
            <w:pPr>
              <w:spacing w:after="0"/>
              <w:jc w:val="left"/>
            </w:pPr>
            <w:r/>
            <w:r>
              <w:rPr>
                <w:rFonts w:ascii="Calibri" w:hAnsi="Calibri"/>
                <w:b w:val="0"/>
                <w:color w:val="1A1A1A"/>
                <w:sz w:val="24"/>
              </w:rPr>
              <w:t>01 Programa HOF Segura 2026, documento-quadro</w:t>
            </w:r>
          </w:p>
        </w:tc>
      </w:tr>
      <w:tr>
        <w:trPr>
          <w:cantSplit/>
        </w:trPr>
        <w:tc>
          <w:tcPr>
            <w:tcW w:type="dxa" w:w="9072"/>
          </w:tcPr>
          <w:p>
            <w:pPr>
              <w:spacing w:after="0"/>
              <w:jc w:val="left"/>
            </w:pPr>
            <w:r/>
            <w:r>
              <w:rPr>
                <w:rFonts w:ascii="Calibri" w:hAnsi="Calibri"/>
                <w:b w:val="0"/>
                <w:color w:val="1A1A1A"/>
                <w:sz w:val="24"/>
              </w:rPr>
              <w:t>02 Mapa Normativo Consolidado</w:t>
            </w:r>
          </w:p>
        </w:tc>
      </w:tr>
      <w:tr>
        <w:trPr>
          <w:cantSplit/>
        </w:trPr>
        <w:tc>
          <w:tcPr>
            <w:tcW w:type="dxa" w:w="9072"/>
            <w:shd w:val="clear" w:color="auto" w:fill="F2F5F8"/>
          </w:tcPr>
          <w:p>
            <w:pPr>
              <w:spacing w:after="0"/>
              <w:jc w:val="left"/>
            </w:pPr>
            <w:r/>
            <w:r>
              <w:rPr>
                <w:rFonts w:ascii="Calibri" w:hAnsi="Calibri"/>
                <w:b w:val="0"/>
                <w:color w:val="1A1A1A"/>
                <w:sz w:val="24"/>
              </w:rPr>
              <w:t>03 Minutas de Consulta Formal</w:t>
            </w:r>
          </w:p>
        </w:tc>
      </w:tr>
      <w:tr>
        <w:trPr>
          <w:cantSplit/>
        </w:trPr>
        <w:tc>
          <w:tcPr>
            <w:tcW w:type="dxa" w:w="9072"/>
          </w:tcPr>
          <w:p>
            <w:pPr>
              <w:spacing w:after="0"/>
              <w:jc w:val="left"/>
            </w:pPr>
            <w:r/>
            <w:r>
              <w:rPr>
                <w:rFonts w:ascii="Calibri" w:hAnsi="Calibri"/>
                <w:b w:val="0"/>
                <w:color w:val="1A1A1A"/>
                <w:sz w:val="24"/>
              </w:rPr>
              <w:t>04 Protocolo de Levantamento de Intercorrências e Litígios</w:t>
            </w:r>
          </w:p>
        </w:tc>
      </w:tr>
      <w:tr>
        <w:trPr>
          <w:cantSplit/>
        </w:trPr>
        <w:tc>
          <w:tcPr>
            <w:tcW w:type="dxa" w:w="9072"/>
            <w:shd w:val="clear" w:color="auto" w:fill="F2F5F8"/>
          </w:tcPr>
          <w:p>
            <w:pPr>
              <w:spacing w:after="0"/>
              <w:jc w:val="left"/>
            </w:pPr>
            <w:r/>
            <w:r>
              <w:rPr>
                <w:rFonts w:ascii="Calibri" w:hAnsi="Calibri"/>
                <w:b w:val="0"/>
                <w:color w:val="1A1A1A"/>
                <w:sz w:val="24"/>
              </w:rPr>
              <w:t>05 Modelo Mestre de POP e pauta de produção</w:t>
            </w:r>
          </w:p>
        </w:tc>
      </w:tr>
      <w:tr>
        <w:trPr>
          <w:cantSplit/>
        </w:trPr>
        <w:tc>
          <w:tcPr>
            <w:tcW w:type="dxa" w:w="9072"/>
          </w:tcPr>
          <w:p>
            <w:pPr>
              <w:spacing w:after="0"/>
              <w:jc w:val="left"/>
            </w:pPr>
            <w:r/>
            <w:r>
              <w:rPr>
                <w:rFonts w:ascii="Calibri" w:hAnsi="Calibri"/>
                <w:b w:val="0"/>
                <w:color w:val="1A1A1A"/>
                <w:sz w:val="24"/>
              </w:rPr>
              <w:t>06 Matriz de Avaliação Tecnológica, oito dimensões</w:t>
            </w:r>
          </w:p>
        </w:tc>
      </w:tr>
      <w:tr>
        <w:trPr>
          <w:cantSplit/>
        </w:trPr>
        <w:tc>
          <w:tcPr>
            <w:tcW w:type="dxa" w:w="9072"/>
            <w:shd w:val="clear" w:color="auto" w:fill="F2F5F8"/>
          </w:tcPr>
          <w:p>
            <w:pPr>
              <w:spacing w:after="0"/>
              <w:jc w:val="left"/>
            </w:pPr>
            <w:r/>
            <w:r>
              <w:rPr>
                <w:rFonts w:ascii="Calibri" w:hAnsi="Calibri"/>
                <w:b w:val="0"/>
                <w:color w:val="1A1A1A"/>
                <w:sz w:val="24"/>
              </w:rPr>
              <w:t>07 Fluxograma Estadual de Intercorrências, quatro camadas</w:t>
            </w:r>
          </w:p>
        </w:tc>
      </w:tr>
      <w:tr>
        <w:trPr>
          <w:cantSplit/>
        </w:trPr>
        <w:tc>
          <w:tcPr>
            <w:tcW w:type="dxa" w:w="9072"/>
          </w:tcPr>
          <w:p>
            <w:pPr>
              <w:spacing w:after="0"/>
              <w:jc w:val="left"/>
            </w:pPr>
            <w:r/>
            <w:r>
              <w:rPr>
                <w:rFonts w:ascii="Calibri" w:hAnsi="Calibri"/>
                <w:b w:val="0"/>
                <w:color w:val="1A1A1A"/>
                <w:sz w:val="24"/>
              </w:rPr>
              <w:t>08 Guia de Diagnóstico Precoce</w:t>
            </w:r>
          </w:p>
        </w:tc>
      </w:tr>
      <w:tr>
        <w:trPr>
          <w:cantSplit/>
        </w:trPr>
        <w:tc>
          <w:tcPr>
            <w:tcW w:type="dxa" w:w="9072"/>
            <w:shd w:val="clear" w:color="auto" w:fill="F2F5F8"/>
          </w:tcPr>
          <w:p>
            <w:pPr>
              <w:spacing w:after="0"/>
              <w:jc w:val="left"/>
            </w:pPr>
            <w:r/>
            <w:r>
              <w:rPr>
                <w:rFonts w:ascii="Calibri" w:hAnsi="Calibri"/>
                <w:b w:val="0"/>
                <w:color w:val="1A1A1A"/>
                <w:sz w:val="24"/>
              </w:rPr>
              <w:t>09 Checklist de Segurança Clínica</w:t>
            </w:r>
          </w:p>
        </w:tc>
      </w:tr>
      <w:tr>
        <w:trPr>
          <w:cantSplit/>
        </w:trPr>
        <w:tc>
          <w:tcPr>
            <w:tcW w:type="dxa" w:w="9072"/>
          </w:tcPr>
          <w:p>
            <w:pPr>
              <w:spacing w:after="0"/>
              <w:jc w:val="left"/>
            </w:pPr>
            <w:r/>
            <w:r>
              <w:rPr>
                <w:rFonts w:ascii="Calibri" w:hAnsi="Calibri"/>
                <w:b w:val="0"/>
                <w:color w:val="1A1A1A"/>
                <w:sz w:val="24"/>
              </w:rPr>
              <w:t>10 Manual de Boas Práticas em Tecnologias</w:t>
            </w:r>
          </w:p>
        </w:tc>
      </w:tr>
      <w:tr>
        <w:trPr>
          <w:cantSplit/>
        </w:trPr>
        <w:tc>
          <w:tcPr>
            <w:tcW w:type="dxa" w:w="9072"/>
            <w:shd w:val="clear" w:color="auto" w:fill="F2F5F8"/>
          </w:tcPr>
          <w:p>
            <w:pPr>
              <w:spacing w:after="0"/>
              <w:jc w:val="left"/>
            </w:pPr>
            <w:r/>
            <w:r>
              <w:rPr>
                <w:rFonts w:ascii="Calibri" w:hAnsi="Calibri"/>
                <w:b w:val="0"/>
                <w:color w:val="1A1A1A"/>
                <w:sz w:val="24"/>
              </w:rPr>
              <w:t>11 Relatório-piloto de Tecnologias Emergentes</w:t>
            </w:r>
          </w:p>
        </w:tc>
      </w:tr>
      <w:tr>
        <w:trPr>
          <w:cantSplit/>
        </w:trPr>
        <w:tc>
          <w:tcPr>
            <w:tcW w:type="dxa" w:w="9072"/>
          </w:tcPr>
          <w:p>
            <w:pPr>
              <w:spacing w:after="0"/>
              <w:jc w:val="left"/>
            </w:pPr>
            <w:r/>
            <w:r>
              <w:rPr>
                <w:rFonts w:ascii="Calibri" w:hAnsi="Calibri"/>
                <w:b w:val="0"/>
                <w:color w:val="1A1A1A"/>
                <w:sz w:val="24"/>
              </w:rPr>
              <w:t>12 Matriz de Evidências e Referências</w:t>
            </w:r>
          </w:p>
        </w:tc>
      </w:tr>
      <w:tr>
        <w:trPr>
          <w:cantSplit/>
        </w:trPr>
        <w:tc>
          <w:tcPr>
            <w:tcW w:type="dxa" w:w="9072"/>
            <w:shd w:val="clear" w:color="auto" w:fill="F2F5F8"/>
          </w:tcPr>
          <w:p>
            <w:pPr>
              <w:spacing w:after="0"/>
              <w:jc w:val="left"/>
            </w:pPr>
            <w:r/>
            <w:r>
              <w:rPr>
                <w:rFonts w:ascii="Calibri" w:hAnsi="Calibri"/>
                <w:b w:val="0"/>
                <w:color w:val="1A1A1A"/>
                <w:sz w:val="24"/>
              </w:rPr>
              <w:t>13 Relatório de Auditoria Técnica</w:t>
            </w:r>
          </w:p>
        </w:tc>
      </w:tr>
      <w:tr>
        <w:trPr>
          <w:cantSplit/>
        </w:trPr>
        <w:tc>
          <w:tcPr>
            <w:tcW w:type="dxa" w:w="9072"/>
          </w:tcPr>
          <w:p>
            <w:pPr>
              <w:spacing w:after="0"/>
              <w:jc w:val="left"/>
            </w:pPr>
            <w:r/>
            <w:r>
              <w:rPr>
                <w:rFonts w:ascii="Calibri" w:hAnsi="Calibri"/>
                <w:b w:val="0"/>
                <w:color w:val="1A1A1A"/>
                <w:sz w:val="24"/>
              </w:rPr>
              <w:t>14 Quadro de Deliberação e Validação</w:t>
            </w:r>
          </w:p>
        </w:tc>
      </w:tr>
      <w:tr>
        <w:trPr>
          <w:cantSplit/>
        </w:trPr>
        <w:tc>
          <w:tcPr>
            <w:tcW w:type="dxa" w:w="9072"/>
            <w:shd w:val="clear" w:color="auto" w:fill="F2F5F8"/>
          </w:tcPr>
          <w:p>
            <w:pPr>
              <w:spacing w:after="0"/>
              <w:jc w:val="left"/>
            </w:pPr>
            <w:r/>
            <w:r>
              <w:rPr>
                <w:rFonts w:ascii="Calibri" w:hAnsi="Calibri"/>
                <w:b w:val="0"/>
                <w:color w:val="1A1A1A"/>
                <w:sz w:val="24"/>
              </w:rPr>
              <w:t>15 Plano de Conteúdo para o Instagram</w:t>
            </w:r>
          </w:p>
        </w:tc>
      </w:tr>
      <w:tr>
        <w:trPr>
          <w:cantSplit/>
        </w:trPr>
        <w:tc>
          <w:tcPr>
            <w:tcW w:type="dxa" w:w="9072"/>
          </w:tcPr>
          <w:p>
            <w:pPr>
              <w:spacing w:after="0"/>
              <w:jc w:val="left"/>
            </w:pPr>
            <w:r/>
            <w:r>
              <w:rPr>
                <w:rFonts w:ascii="Calibri" w:hAnsi="Calibri"/>
                <w:b w:val="0"/>
                <w:color w:val="1A1A1A"/>
                <w:sz w:val="24"/>
              </w:rPr>
              <w:t>16 Proposta HOF Segura Digital</w:t>
            </w:r>
          </w:p>
        </w:tc>
      </w:tr>
      <w:tr>
        <w:trPr>
          <w:cantSplit/>
        </w:trPr>
        <w:tc>
          <w:tcPr>
            <w:tcW w:type="dxa" w:w="9072"/>
            <w:shd w:val="clear" w:color="auto" w:fill="F2F5F8"/>
          </w:tcPr>
          <w:p>
            <w:pPr>
              <w:spacing w:after="0"/>
              <w:jc w:val="left"/>
            </w:pPr>
            <w:r/>
            <w:r>
              <w:rPr>
                <w:rFonts w:ascii="Calibri" w:hAnsi="Calibri"/>
                <w:b w:val="0"/>
                <w:color w:val="1A1A1A"/>
                <w:sz w:val="24"/>
              </w:rPr>
              <w:t>17 Pacote de Comunicação HOF Segura</w:t>
            </w:r>
          </w:p>
        </w:tc>
      </w:tr>
      <w:tr>
        <w:trPr>
          <w:cantSplit/>
        </w:trPr>
        <w:tc>
          <w:tcPr>
            <w:tcW w:type="dxa" w:w="9072"/>
          </w:tcPr>
          <w:p>
            <w:pPr>
              <w:spacing w:after="0"/>
              <w:jc w:val="left"/>
            </w:pPr>
            <w:r/>
            <w:r>
              <w:rPr>
                <w:rFonts w:ascii="Calibri" w:hAnsi="Calibri"/>
                <w:b w:val="0"/>
                <w:color w:val="1A1A1A"/>
                <w:sz w:val="24"/>
              </w:rPr>
              <w:t>18 Modelos de Termo de Consentimento</w:t>
            </w:r>
          </w:p>
        </w:tc>
      </w:tr>
      <w:tr>
        <w:trPr>
          <w:cantSplit/>
        </w:trPr>
        <w:tc>
          <w:tcPr>
            <w:tcW w:type="dxa" w:w="9072"/>
            <w:shd w:val="clear" w:color="auto" w:fill="F2F5F8"/>
          </w:tcPr>
          <w:p>
            <w:pPr>
              <w:spacing w:after="0"/>
              <w:jc w:val="left"/>
            </w:pPr>
            <w:r/>
            <w:r>
              <w:rPr>
                <w:rFonts w:ascii="Calibri" w:hAnsi="Calibri"/>
                <w:b w:val="0"/>
                <w:color w:val="1A1A1A"/>
                <w:sz w:val="24"/>
              </w:rPr>
              <w:t>19 Instrumentos Operacionais do Serviço</w:t>
            </w:r>
          </w:p>
        </w:tc>
      </w:tr>
      <w:tr>
        <w:trPr>
          <w:cantSplit/>
        </w:trPr>
        <w:tc>
          <w:tcPr>
            <w:tcW w:type="dxa" w:w="9072"/>
          </w:tcPr>
          <w:p>
            <w:pPr>
              <w:spacing w:after="0"/>
              <w:jc w:val="left"/>
            </w:pPr>
            <w:r/>
            <w:r>
              <w:rPr>
                <w:rFonts w:ascii="Calibri" w:hAnsi="Calibri"/>
                <w:b w:val="0"/>
                <w:color w:val="1A1A1A"/>
                <w:sz w:val="24"/>
              </w:rPr>
              <w:t>20 Caderno de POPs Completo</w:t>
            </w:r>
          </w:p>
        </w:tc>
      </w:tr>
      <w:tr>
        <w:trPr>
          <w:cantSplit/>
        </w:trPr>
        <w:tc>
          <w:tcPr>
            <w:tcW w:type="dxa" w:w="9072"/>
            <w:shd w:val="clear" w:color="auto" w:fill="F2F5F8"/>
          </w:tcPr>
          <w:p>
            <w:pPr>
              <w:spacing w:after="0"/>
              <w:jc w:val="left"/>
            </w:pPr>
            <w:r/>
            <w:r>
              <w:rPr>
                <w:rFonts w:ascii="Calibri" w:hAnsi="Calibri"/>
                <w:b w:val="0"/>
                <w:color w:val="1A1A1A"/>
                <w:sz w:val="24"/>
              </w:rPr>
              <w:t>21 Cartões de Consulta Rápida</w:t>
            </w:r>
          </w:p>
        </w:tc>
      </w:tr>
      <w:tr>
        <w:trPr>
          <w:cantSplit/>
        </w:trPr>
        <w:tc>
          <w:tcPr>
            <w:tcW w:type="dxa" w:w="9072"/>
          </w:tcPr>
          <w:p>
            <w:pPr>
              <w:spacing w:after="0"/>
              <w:jc w:val="left"/>
            </w:pPr>
            <w:r/>
            <w:r>
              <w:rPr>
                <w:rFonts w:ascii="Calibri" w:hAnsi="Calibri"/>
                <w:b w:val="0"/>
                <w:color w:val="1A1A1A"/>
                <w:sz w:val="24"/>
              </w:rPr>
              <w:t>22 Guia de Implantação no Serviço</w:t>
            </w:r>
          </w:p>
        </w:tc>
      </w:tr>
      <w:tr>
        <w:trPr>
          <w:cantSplit/>
        </w:trPr>
        <w:tc>
          <w:tcPr>
            <w:tcW w:type="dxa" w:w="9072"/>
            <w:shd w:val="clear" w:color="auto" w:fill="F2F5F8"/>
          </w:tcPr>
          <w:p>
            <w:pPr>
              <w:spacing w:after="0"/>
              <w:jc w:val="left"/>
            </w:pPr>
            <w:r/>
            <w:r>
              <w:rPr>
                <w:rFonts w:ascii="Calibri" w:hAnsi="Calibri"/>
                <w:b w:val="0"/>
                <w:color w:val="1A1A1A"/>
                <w:sz w:val="24"/>
              </w:rPr>
              <w:t>23 Relatório de Prestação de Contas do Ciclo</w:t>
            </w:r>
          </w:p>
        </w:tc>
      </w:tr>
      <w:tr>
        <w:trPr>
          <w:cantSplit/>
        </w:trPr>
        <w:tc>
          <w:tcPr>
            <w:tcW w:type="dxa" w:w="9072"/>
          </w:tcPr>
          <w:p>
            <w:pPr>
              <w:spacing w:after="0"/>
              <w:jc w:val="left"/>
            </w:pPr>
            <w:r/>
            <w:r>
              <w:rPr>
                <w:rFonts w:ascii="Calibri" w:hAnsi="Calibri"/>
                <w:b w:val="0"/>
                <w:color w:val="1A1A1A"/>
                <w:sz w:val="24"/>
              </w:rPr>
              <w:t>24 Caderno de Atas e Controle de Reuniões</w:t>
            </w:r>
          </w:p>
        </w:tc>
      </w:tr>
      <w:tr>
        <w:trPr>
          <w:cantSplit/>
        </w:trPr>
        <w:tc>
          <w:tcPr>
            <w:tcW w:type="dxa" w:w="9072"/>
            <w:shd w:val="clear" w:color="auto" w:fill="F2F5F8"/>
          </w:tcPr>
          <w:p>
            <w:pPr>
              <w:spacing w:after="0"/>
              <w:jc w:val="left"/>
            </w:pPr>
            <w:r/>
            <w:r>
              <w:rPr>
                <w:rFonts w:ascii="Calibri" w:hAnsi="Calibri"/>
                <w:b w:val="0"/>
                <w:color w:val="1A1A1A"/>
                <w:sz w:val="24"/>
              </w:rPr>
              <w:t>25 Dossiê de Submissão à Diretoria Executiva</w:t>
            </w:r>
          </w:p>
        </w:tc>
      </w:tr>
      <w:tr>
        <w:trPr>
          <w:cantSplit/>
        </w:trPr>
        <w:tc>
          <w:tcPr>
            <w:tcW w:type="dxa" w:w="9072"/>
          </w:tcPr>
          <w:p>
            <w:pPr>
              <w:spacing w:after="0"/>
              <w:jc w:val="left"/>
            </w:pPr>
            <w:r/>
            <w:r>
              <w:rPr>
                <w:rFonts w:ascii="Calibri" w:hAnsi="Calibri"/>
                <w:b w:val="0"/>
                <w:color w:val="1A1A1A"/>
                <w:sz w:val="24"/>
              </w:rPr>
              <w:t>26 Plano do Fórum de Tecnologias Emergentes</w:t>
            </w:r>
          </w:p>
        </w:tc>
      </w:tr>
      <w:tr>
        <w:trPr>
          <w:cantSplit/>
        </w:trPr>
        <w:tc>
          <w:tcPr>
            <w:tcW w:type="dxa" w:w="9072"/>
            <w:shd w:val="clear" w:color="auto" w:fill="F2F5F8"/>
          </w:tcPr>
          <w:p>
            <w:pPr>
              <w:spacing w:after="0"/>
              <w:jc w:val="left"/>
            </w:pPr>
            <w:r/>
            <w:r>
              <w:rPr>
                <w:rFonts w:ascii="Calibri" w:hAnsi="Calibri"/>
                <w:b w:val="0"/>
                <w:color w:val="1A1A1A"/>
                <w:sz w:val="24"/>
              </w:rPr>
              <w:t>27 Nota Técnica sobre Conformidade Regulatória</w:t>
            </w:r>
          </w:p>
        </w:tc>
      </w:tr>
      <w:tr>
        <w:trPr>
          <w:cantSplit/>
        </w:trPr>
        <w:tc>
          <w:tcPr>
            <w:tcW w:type="dxa" w:w="9072"/>
          </w:tcPr>
          <w:p>
            <w:pPr>
              <w:spacing w:after="0"/>
              <w:jc w:val="left"/>
            </w:pPr>
            <w:r/>
            <w:r>
              <w:rPr>
                <w:rFonts w:ascii="Calibri" w:hAnsi="Calibri"/>
                <w:b w:val="0"/>
                <w:color w:val="1A1A1A"/>
                <w:sz w:val="24"/>
              </w:rPr>
              <w:t>28 Comunicado sobre Uso Fora da Indicação Aprovada</w:t>
            </w:r>
          </w:p>
        </w:tc>
      </w:tr>
      <w:tr>
        <w:trPr>
          <w:cantSplit/>
        </w:trPr>
        <w:tc>
          <w:tcPr>
            <w:tcW w:type="dxa" w:w="9072"/>
            <w:shd w:val="clear" w:color="auto" w:fill="F2F5F8"/>
          </w:tcPr>
          <w:p>
            <w:pPr>
              <w:spacing w:after="0"/>
              <w:jc w:val="left"/>
            </w:pPr>
            <w:r/>
            <w:r>
              <w:rPr>
                <w:rFonts w:ascii="Calibri" w:hAnsi="Calibri"/>
                <w:b w:val="0"/>
                <w:color w:val="1A1A1A"/>
                <w:sz w:val="24"/>
              </w:rPr>
              <w:t>29 Roteiros e Relatórios de Simulação</w:t>
            </w:r>
          </w:p>
        </w:tc>
      </w:tr>
      <w:tr>
        <w:trPr>
          <w:cantSplit/>
        </w:trPr>
        <w:tc>
          <w:tcPr>
            <w:tcW w:type="dxa" w:w="9072"/>
          </w:tcPr>
          <w:p>
            <w:pPr>
              <w:spacing w:after="0"/>
              <w:jc w:val="left"/>
            </w:pPr>
            <w:r/>
            <w:r>
              <w:rPr>
                <w:rFonts w:ascii="Calibri" w:hAnsi="Calibri"/>
                <w:b w:val="0"/>
                <w:color w:val="1A1A1A"/>
                <w:sz w:val="24"/>
              </w:rPr>
              <w:t>30 Política de IA e Proteção de Dados</w:t>
            </w:r>
          </w:p>
        </w:tc>
      </w:tr>
      <w:tr>
        <w:trPr>
          <w:cantSplit/>
        </w:trPr>
        <w:tc>
          <w:tcPr>
            <w:tcW w:type="dxa" w:w="9072"/>
            <w:shd w:val="clear" w:color="auto" w:fill="F2F5F8"/>
          </w:tcPr>
          <w:p>
            <w:pPr>
              <w:spacing w:after="0"/>
              <w:jc w:val="left"/>
            </w:pPr>
            <w:r/>
            <w:r>
              <w:rPr>
                <w:rFonts w:ascii="Calibri" w:hAnsi="Calibri"/>
                <w:b w:val="0"/>
                <w:color w:val="1A1A1A"/>
                <w:sz w:val="24"/>
              </w:rPr>
              <w:t>31 Carrossel Institucional HOF Segura</w:t>
            </w:r>
          </w:p>
        </w:tc>
      </w:tr>
    </w:tbl>
    <w:p>
      <w:pPr>
        <w:keepNext/>
        <w:spacing w:before="240" w:after="80"/>
        <w:jc w:val="left"/>
      </w:pPr>
      <w:r>
        <w:rPr>
          <w:rFonts w:ascii="Calibri" w:hAnsi="Calibri"/>
          <w:b/>
          <w:color w:val="143C64"/>
          <w:sz w:val="26"/>
        </w:rPr>
        <w:t>POPs</w:t>
      </w:r>
    </w:p>
    <w:p>
      <w:pPr>
        <w:spacing w:after="120"/>
        <w:jc w:val="both"/>
      </w:pPr>
      <w:r>
        <w:rPr>
          <w:rFonts w:ascii="Calibri" w:hAnsi="Calibri"/>
          <w:b w:val="0"/>
          <w:i/>
          <w:color w:val="1A1A1A"/>
          <w:sz w:val="24"/>
        </w:rPr>
        <w:t>Vinte e um procedimentos em arquivo individual, porque na clínica cada POP é aprovado e assinado separadamente.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9072"/>
      </w:tblGrid>
      <w:tr>
        <w:trPr>
          <w:cantSplit/>
          <w:tblHeader/>
        </w:trPr>
        <w:tc>
          <w:tcPr>
            <w:tcW w:type="dxa" w:w="9072"/>
            <w:shd w:val="clear" w:color="auto" w:fill="143C64"/>
          </w:tcPr>
          <w:p>
            <w:pPr>
              <w:spacing w:after="0"/>
              <w:jc w:val="left"/>
            </w:pPr>
            <w:r/>
            <w:r>
              <w:rPr>
                <w:rFonts w:ascii="Calibri" w:hAnsi="Calibri"/>
                <w:b/>
                <w:color w:val="FFFFFF"/>
                <w:sz w:val="24"/>
              </w:rPr>
              <w:t>Conteúdo</w:t>
            </w:r>
          </w:p>
        </w:tc>
      </w:tr>
      <w:tr>
        <w:trPr>
          <w:cantSplit/>
        </w:trPr>
        <w:tc>
          <w:tcPr>
            <w:tcW w:type="dxa" w:w="9072"/>
          </w:tcPr>
          <w:p>
            <w:pPr>
              <w:spacing w:after="0"/>
              <w:jc w:val="left"/>
            </w:pPr>
            <w:r/>
            <w:r>
              <w:rPr>
                <w:rFonts w:ascii="Calibri" w:hAnsi="Calibri"/>
                <w:b w:val="0"/>
                <w:color w:val="1A1A1A"/>
                <w:sz w:val="24"/>
              </w:rPr>
              <w:t>POP-N5-01 a POP-N5-17, temáticos, da consulta inicial à notificação de evento adverso</w:t>
            </w:r>
          </w:p>
        </w:tc>
      </w:tr>
      <w:tr>
        <w:trPr>
          <w:cantSplit/>
        </w:trPr>
        <w:tc>
          <w:tcPr>
            <w:tcW w:type="dxa" w:w="9072"/>
            <w:shd w:val="clear" w:color="auto" w:fill="F2F5F8"/>
          </w:tcPr>
          <w:p>
            <w:pPr>
              <w:spacing w:after="0"/>
              <w:jc w:val="left"/>
            </w:pPr>
            <w:r/>
            <w:r>
              <w:rPr>
                <w:rFonts w:ascii="Calibri" w:hAnsi="Calibri"/>
                <w:b w:val="0"/>
                <w:color w:val="1A1A1A"/>
                <w:sz w:val="24"/>
              </w:rPr>
              <w:t>POP-N5-T01 a POP-N5-T04, transversais de governança tecnológica</w:t>
            </w:r>
          </w:p>
        </w:tc>
      </w:tr>
    </w:tbl>
    <w:p>
      <w:pPr>
        <w:keepNext/>
        <w:spacing w:before="240" w:after="80"/>
        <w:jc w:val="left"/>
      </w:pPr>
      <w:r>
        <w:rPr>
          <w:rFonts w:ascii="Calibri" w:hAnsi="Calibri"/>
          <w:b/>
          <w:color w:val="143C64"/>
          <w:sz w:val="26"/>
        </w:rPr>
        <w:t>ANEXOS_MIDIA</w:t>
      </w:r>
    </w:p>
    <w:p>
      <w:pPr>
        <w:spacing w:after="120"/>
        <w:jc w:val="both"/>
      </w:pPr>
      <w:r>
        <w:rPr>
          <w:rFonts w:ascii="Calibri" w:hAnsi="Calibri"/>
          <w:b w:val="0"/>
          <w:i/>
          <w:color w:val="1A1A1A"/>
          <w:sz w:val="24"/>
        </w:rPr>
        <w:t>As peças de comunicação em imagem, apresentação e vídeo.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9072"/>
      </w:tblGrid>
      <w:tr>
        <w:trPr>
          <w:cantSplit/>
          <w:tblHeader/>
        </w:trPr>
        <w:tc>
          <w:tcPr>
            <w:tcW w:type="dxa" w:w="9072"/>
            <w:shd w:val="clear" w:color="auto" w:fill="143C64"/>
          </w:tcPr>
          <w:p>
            <w:pPr>
              <w:spacing w:after="0"/>
              <w:jc w:val="left"/>
            </w:pPr>
            <w:r/>
            <w:r>
              <w:rPr>
                <w:rFonts w:ascii="Calibri" w:hAnsi="Calibri"/>
                <w:b/>
                <w:color w:val="FFFFFF"/>
                <w:sz w:val="24"/>
              </w:rPr>
              <w:t>Conteúdo</w:t>
            </w:r>
          </w:p>
        </w:tc>
      </w:tr>
      <w:tr>
        <w:trPr>
          <w:cantSplit/>
        </w:trPr>
        <w:tc>
          <w:tcPr>
            <w:tcW w:type="dxa" w:w="9072"/>
          </w:tcPr>
          <w:p>
            <w:pPr>
              <w:spacing w:after="0"/>
              <w:jc w:val="left"/>
            </w:pPr>
            <w:r/>
            <w:r>
              <w:rPr>
                <w:rFonts w:ascii="Calibri" w:hAnsi="Calibri"/>
                <w:b w:val="0"/>
                <w:color w:val="1A1A1A"/>
                <w:sz w:val="24"/>
              </w:rPr>
              <w:t>Carrossel institucional de doze cards, separado por situação de publicação</w:t>
            </w:r>
          </w:p>
        </w:tc>
      </w:tr>
      <w:tr>
        <w:trPr>
          <w:cantSplit/>
        </w:trPr>
        <w:tc>
          <w:tcPr>
            <w:tcW w:type="dxa" w:w="9072"/>
            <w:shd w:val="clear" w:color="auto" w:fill="F2F5F8"/>
          </w:tcPr>
          <w:p>
            <w:pPr>
              <w:spacing w:after="0"/>
              <w:jc w:val="left"/>
            </w:pPr>
            <w:r/>
            <w:r>
              <w:rPr>
                <w:rFonts w:ascii="Calibri" w:hAnsi="Calibri"/>
                <w:b w:val="0"/>
                <w:color w:val="1A1A1A"/>
                <w:sz w:val="24"/>
              </w:rPr>
              <w:t>Carrossel anterior de dez cards</w:t>
            </w:r>
          </w:p>
        </w:tc>
      </w:tr>
      <w:tr>
        <w:trPr>
          <w:cantSplit/>
        </w:trPr>
        <w:tc>
          <w:tcPr>
            <w:tcW w:type="dxa" w:w="9072"/>
          </w:tcPr>
          <w:p>
            <w:pPr>
              <w:spacing w:after="0"/>
              <w:jc w:val="left"/>
            </w:pPr>
            <w:r/>
            <w:r>
              <w:rPr>
                <w:rFonts w:ascii="Calibri" w:hAnsi="Calibri"/>
                <w:b w:val="0"/>
                <w:color w:val="1A1A1A"/>
                <w:sz w:val="24"/>
              </w:rPr>
              <w:t>Apresentação editável e rascunho de vídeo</w:t>
            </w:r>
          </w:p>
        </w:tc>
      </w:tr>
    </w:tbl>
    <w:p>
      <w:r>
        <w:br w:type="page"/>
      </w:r>
    </w:p>
    <w:p>
      <w:pPr>
        <w:keepNext/>
        <w:spacing w:before="360" w:after="160"/>
        <w:jc w:val="left"/>
        <w:pBdr>
          <w:bottom w:val="single" w:sz="8" w:space="4" w:color="143C64"/>
        </w:pBdr>
      </w:pPr>
      <w:r>
        <w:rPr>
          <w:rFonts w:ascii="Calibri" w:hAnsi="Calibri"/>
          <w:b/>
          <w:color w:val="143C64"/>
          <w:sz w:val="30"/>
        </w:rPr>
        <w:t>6  As doze metas e o que cada uma entregou</w:t>
      </w:r>
    </w:p>
    <w:p>
      <w:pPr>
        <w:spacing w:after="120"/>
        <w:jc w:val="both"/>
      </w:pPr>
      <w:r>
        <w:rPr>
          <w:rFonts w:ascii="Calibri" w:hAnsi="Calibri"/>
          <w:b w:val="0"/>
          <w:i w:val="0"/>
          <w:color w:val="1A1A1A"/>
          <w:sz w:val="24"/>
        </w:rPr>
        <w:t>A coluna de entrega descreve o que foi produzido. A coluna de ato pendente descreve o que falta e a quem cabe. A distinção é necessária porque várias metas têm como indicador um ato que não pertence ao Núcleo.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900"/>
        <w:gridCol w:w="2758"/>
        <w:gridCol w:w="3301"/>
        <w:gridCol w:w="2113"/>
      </w:tblGrid>
      <w:tr>
        <w:trPr>
          <w:cantSplit/>
          <w:tblHeader/>
        </w:trPr>
        <w:tc>
          <w:tcPr>
            <w:tcW w:type="dxa" w:w="900"/>
            <w:shd w:val="clear" w:color="auto" w:fill="143C64"/>
          </w:tcPr>
          <w:p>
            <w:pPr>
              <w:spacing w:after="0"/>
              <w:jc w:val="left"/>
            </w:pPr>
            <w:r/>
            <w:r>
              <w:rPr>
                <w:rFonts w:ascii="Calibri" w:hAnsi="Calibri"/>
                <w:b/>
                <w:color w:val="FFFFFF"/>
                <w:sz w:val="24"/>
              </w:rPr>
              <w:t>Meta</w:t>
            </w:r>
          </w:p>
        </w:tc>
        <w:tc>
          <w:tcPr>
            <w:tcW w:type="dxa" w:w="2758"/>
            <w:shd w:val="clear" w:color="auto" w:fill="143C64"/>
          </w:tcPr>
          <w:p>
            <w:pPr>
              <w:spacing w:after="0"/>
              <w:jc w:val="left"/>
            </w:pPr>
            <w:r/>
            <w:r>
              <w:rPr>
                <w:rFonts w:ascii="Calibri" w:hAnsi="Calibri"/>
                <w:b/>
                <w:color w:val="FFFFFF"/>
                <w:sz w:val="24"/>
              </w:rPr>
              <w:t>Objeto</w:t>
            </w:r>
          </w:p>
        </w:tc>
        <w:tc>
          <w:tcPr>
            <w:tcW w:type="dxa" w:w="3301"/>
            <w:shd w:val="clear" w:color="auto" w:fill="143C64"/>
          </w:tcPr>
          <w:p>
            <w:pPr>
              <w:spacing w:after="0"/>
              <w:jc w:val="left"/>
            </w:pPr>
            <w:r/>
            <w:r>
              <w:rPr>
                <w:rFonts w:ascii="Calibri" w:hAnsi="Calibri"/>
                <w:b/>
                <w:color w:val="FFFFFF"/>
                <w:sz w:val="24"/>
              </w:rPr>
              <w:t>O que foi entregue</w:t>
            </w:r>
          </w:p>
        </w:tc>
        <w:tc>
          <w:tcPr>
            <w:tcW w:type="dxa" w:w="2113"/>
            <w:shd w:val="clear" w:color="auto" w:fill="143C64"/>
          </w:tcPr>
          <w:p>
            <w:pPr>
              <w:spacing w:after="0"/>
              <w:jc w:val="left"/>
            </w:pPr>
            <w:r/>
            <w:r>
              <w:rPr>
                <w:rFonts w:ascii="Calibri" w:hAnsi="Calibri"/>
                <w:b/>
                <w:color w:val="FFFFFF"/>
                <w:sz w:val="24"/>
              </w:rPr>
              <w:t>Ato pendente</w:t>
            </w:r>
          </w:p>
        </w:tc>
      </w:tr>
      <w:tr>
        <w:trPr>
          <w:cantSplit/>
        </w:trPr>
        <w:tc>
          <w:tcPr>
            <w:tcW w:type="dxa" w:w="900"/>
          </w:tcPr>
          <w:p>
            <w:pPr>
              <w:spacing w:after="0"/>
              <w:jc w:val="left"/>
            </w:pPr>
            <w:r/>
            <w:r>
              <w:rPr>
                <w:rFonts w:ascii="Calibri" w:hAnsi="Calibri"/>
                <w:b w:val="0"/>
                <w:color w:val="1A1A1A"/>
                <w:sz w:val="24"/>
              </w:rPr>
              <w:t>M1</w:t>
            </w:r>
          </w:p>
        </w:tc>
        <w:tc>
          <w:tcPr>
            <w:tcW w:type="dxa" w:w="2758"/>
          </w:tcPr>
          <w:p>
            <w:pPr>
              <w:spacing w:after="0"/>
              <w:jc w:val="left"/>
            </w:pPr>
            <w:r/>
            <w:r>
              <w:rPr>
                <w:rFonts w:ascii="Calibri" w:hAnsi="Calibri"/>
                <w:b w:val="0"/>
                <w:color w:val="1A1A1A"/>
                <w:sz w:val="24"/>
              </w:rPr>
              <w:t>Modelo único de POP e grade de avaliação</w:t>
            </w:r>
          </w:p>
        </w:tc>
        <w:tc>
          <w:tcPr>
            <w:tcW w:type="dxa" w:w="3301"/>
          </w:tcPr>
          <w:p>
            <w:pPr>
              <w:spacing w:after="0"/>
              <w:jc w:val="left"/>
            </w:pPr>
            <w:r/>
            <w:r>
              <w:rPr>
                <w:rFonts w:ascii="Calibri" w:hAnsi="Calibri"/>
                <w:b w:val="0"/>
                <w:color w:val="1A1A1A"/>
                <w:sz w:val="24"/>
              </w:rPr>
              <w:t>Modelo mestre de doze campos, aplicado a vinte e um POPs. Matriz de avaliação consolidada em oito dimensões, com rubrica de classificação e regra de conclusão.</w:t>
            </w:r>
          </w:p>
        </w:tc>
        <w:tc>
          <w:tcPr>
            <w:tcW w:type="dxa" w:w="2113"/>
          </w:tcPr>
          <w:p>
            <w:pPr>
              <w:spacing w:after="0"/>
              <w:jc w:val="left"/>
            </w:pPr>
            <w:r/>
            <w:r>
              <w:rPr>
                <w:rFonts w:ascii="Calibri" w:hAnsi="Calibri"/>
                <w:b w:val="0"/>
                <w:color w:val="1A1A1A"/>
                <w:sz w:val="24"/>
              </w:rPr>
              <w:t>Aprovação em ata do Núcleo</w:t>
            </w:r>
          </w:p>
        </w:tc>
      </w:tr>
      <w:tr>
        <w:trPr>
          <w:cantSplit/>
        </w:trPr>
        <w:tc>
          <w:tcPr>
            <w:tcW w:type="dxa" w:w="900"/>
            <w:shd w:val="clear" w:color="auto" w:fill="F2F5F8"/>
          </w:tcPr>
          <w:p>
            <w:pPr>
              <w:spacing w:after="0"/>
              <w:jc w:val="left"/>
            </w:pPr>
            <w:r/>
            <w:r>
              <w:rPr>
                <w:rFonts w:ascii="Calibri" w:hAnsi="Calibri"/>
                <w:b w:val="0"/>
                <w:color w:val="1A1A1A"/>
                <w:sz w:val="24"/>
              </w:rPr>
              <w:t>M2</w:t>
            </w:r>
          </w:p>
        </w:tc>
        <w:tc>
          <w:tcPr>
            <w:tcW w:type="dxa" w:w="2758"/>
            <w:shd w:val="clear" w:color="auto" w:fill="F2F5F8"/>
          </w:tcPr>
          <w:p>
            <w:pPr>
              <w:spacing w:after="0"/>
              <w:jc w:val="left"/>
            </w:pPr>
            <w:r/>
            <w:r>
              <w:rPr>
                <w:rFonts w:ascii="Calibri" w:hAnsi="Calibri"/>
                <w:b w:val="0"/>
                <w:color w:val="1A1A1A"/>
                <w:sz w:val="24"/>
              </w:rPr>
              <w:t>Mapa normativo e consulta formal</w:t>
            </w:r>
          </w:p>
        </w:tc>
        <w:tc>
          <w:tcPr>
            <w:tcW w:type="dxa" w:w="3301"/>
            <w:shd w:val="clear" w:color="auto" w:fill="F2F5F8"/>
          </w:tcPr>
          <w:p>
            <w:pPr>
              <w:spacing w:after="0"/>
              <w:jc w:val="left"/>
            </w:pPr>
            <w:r/>
            <w:r>
              <w:rPr>
                <w:rFonts w:ascii="Calibri" w:hAnsi="Calibri"/>
                <w:b w:val="0"/>
                <w:color w:val="1A1A1A"/>
                <w:sz w:val="24"/>
              </w:rPr>
              <w:t>Mapa consolidado com camadas normativas, vigência e data de consulta. Duas minutas de ofício redigidas e prontas para protocolo.</w:t>
            </w:r>
          </w:p>
        </w:tc>
        <w:tc>
          <w:tcPr>
            <w:tcW w:type="dxa" w:w="2113"/>
            <w:shd w:val="clear" w:color="auto" w:fill="F2F5F8"/>
          </w:tcPr>
          <w:p>
            <w:pPr>
              <w:spacing w:after="0"/>
              <w:jc w:val="left"/>
            </w:pPr>
            <w:r/>
            <w:r>
              <w:rPr>
                <w:rFonts w:ascii="Calibri" w:hAnsi="Calibri"/>
                <w:b w:val="0"/>
                <w:color w:val="1A1A1A"/>
                <w:sz w:val="24"/>
              </w:rPr>
              <w:t>Protocolo pela Diretoria e resposta do órgão</w:t>
            </w:r>
          </w:p>
        </w:tc>
      </w:tr>
      <w:tr>
        <w:trPr>
          <w:cantSplit/>
        </w:trPr>
        <w:tc>
          <w:tcPr>
            <w:tcW w:type="dxa" w:w="900"/>
          </w:tcPr>
          <w:p>
            <w:pPr>
              <w:spacing w:after="0"/>
              <w:jc w:val="left"/>
            </w:pPr>
            <w:r/>
            <w:r>
              <w:rPr>
                <w:rFonts w:ascii="Calibri" w:hAnsi="Calibri"/>
                <w:b w:val="0"/>
                <w:color w:val="1A1A1A"/>
                <w:sz w:val="24"/>
              </w:rPr>
              <w:t>M3</w:t>
            </w:r>
          </w:p>
        </w:tc>
        <w:tc>
          <w:tcPr>
            <w:tcW w:type="dxa" w:w="2758"/>
          </w:tcPr>
          <w:p>
            <w:pPr>
              <w:spacing w:after="0"/>
              <w:jc w:val="left"/>
            </w:pPr>
            <w:r/>
            <w:r>
              <w:rPr>
                <w:rFonts w:ascii="Calibri" w:hAnsi="Calibri"/>
                <w:b w:val="0"/>
                <w:color w:val="1A1A1A"/>
                <w:sz w:val="24"/>
              </w:rPr>
              <w:t>Protocolo de levantamento</w:t>
            </w:r>
          </w:p>
        </w:tc>
        <w:tc>
          <w:tcPr>
            <w:tcW w:type="dxa" w:w="3301"/>
          </w:tcPr>
          <w:p>
            <w:pPr>
              <w:spacing w:after="0"/>
              <w:jc w:val="left"/>
            </w:pPr>
            <w:r/>
            <w:r>
              <w:rPr>
                <w:rFonts w:ascii="Calibri" w:hAnsi="Calibri"/>
                <w:b w:val="0"/>
                <w:color w:val="1A1A1A"/>
                <w:sz w:val="24"/>
              </w:rPr>
              <w:t>Protocolo escrito com fontes por nível, período, estratégias de busca, critérios de inclusão, taxonomia e limitações declaradas.</w:t>
            </w:r>
          </w:p>
        </w:tc>
        <w:tc>
          <w:tcPr>
            <w:tcW w:type="dxa" w:w="2113"/>
          </w:tcPr>
          <w:p>
            <w:pPr>
              <w:spacing w:after="0"/>
              <w:jc w:val="left"/>
            </w:pPr>
            <w:r/>
            <w:r>
              <w:rPr>
                <w:rFonts w:ascii="Calibri" w:hAnsi="Calibri"/>
                <w:b w:val="0"/>
                <w:color w:val="1A1A1A"/>
                <w:sz w:val="24"/>
              </w:rPr>
              <w:t>Execução da busca, que depende do protocolo dos ofícios</w:t>
            </w:r>
          </w:p>
        </w:tc>
      </w:tr>
      <w:tr>
        <w:trPr>
          <w:cantSplit/>
        </w:trPr>
        <w:tc>
          <w:tcPr>
            <w:tcW w:type="dxa" w:w="900"/>
            <w:shd w:val="clear" w:color="auto" w:fill="F2F5F8"/>
          </w:tcPr>
          <w:p>
            <w:pPr>
              <w:spacing w:after="0"/>
              <w:jc w:val="left"/>
            </w:pPr>
            <w:r/>
            <w:r>
              <w:rPr>
                <w:rFonts w:ascii="Calibri" w:hAnsi="Calibri"/>
                <w:b w:val="0"/>
                <w:color w:val="1A1A1A"/>
                <w:sz w:val="24"/>
              </w:rPr>
              <w:t>M4</w:t>
            </w:r>
          </w:p>
        </w:tc>
        <w:tc>
          <w:tcPr>
            <w:tcW w:type="dxa" w:w="2758"/>
            <w:shd w:val="clear" w:color="auto" w:fill="F2F5F8"/>
          </w:tcPr>
          <w:p>
            <w:pPr>
              <w:spacing w:after="0"/>
              <w:jc w:val="left"/>
            </w:pPr>
            <w:r/>
            <w:r>
              <w:rPr>
                <w:rFonts w:ascii="Calibri" w:hAnsi="Calibri"/>
                <w:b w:val="0"/>
                <w:color w:val="1A1A1A"/>
                <w:sz w:val="24"/>
              </w:rPr>
              <w:t>Fluxograma em quatro camadas</w:t>
            </w:r>
          </w:p>
        </w:tc>
        <w:tc>
          <w:tcPr>
            <w:tcW w:type="dxa" w:w="3301"/>
            <w:shd w:val="clear" w:color="auto" w:fill="F2F5F8"/>
          </w:tcPr>
          <w:p>
            <w:pPr>
              <w:spacing w:after="0"/>
              <w:jc w:val="left"/>
            </w:pPr>
            <w:r/>
            <w:r>
              <w:rPr>
                <w:rFonts w:ascii="Calibri" w:hAnsi="Calibri"/>
                <w:b w:val="0"/>
                <w:color w:val="1A1A1A"/>
                <w:sz w:val="24"/>
              </w:rPr>
              <w:t>Fluxograma com fluxo de decisão de F0 a F5 e seis cenários prioritários, acompanhado do guia de diagnóstico precoce e do checklist. Entrega acima do exigido pelo indicador.</w:t>
            </w:r>
          </w:p>
        </w:tc>
        <w:tc>
          <w:tcPr>
            <w:tcW w:type="dxa" w:w="2113"/>
            <w:shd w:val="clear" w:color="auto" w:fill="F2F5F8"/>
          </w:tcPr>
          <w:p>
            <w:pPr>
              <w:spacing w:after="0"/>
              <w:jc w:val="left"/>
            </w:pPr>
            <w:r/>
            <w:r>
              <w:rPr>
                <w:rFonts w:ascii="Calibri" w:hAnsi="Calibri"/>
                <w:b w:val="0"/>
                <w:color w:val="1A1A1A"/>
                <w:sz w:val="24"/>
              </w:rPr>
              <w:t>Revisão por par registrada</w:t>
            </w:r>
          </w:p>
        </w:tc>
      </w:tr>
      <w:tr>
        <w:trPr>
          <w:cantSplit/>
        </w:trPr>
        <w:tc>
          <w:tcPr>
            <w:tcW w:type="dxa" w:w="900"/>
          </w:tcPr>
          <w:p>
            <w:pPr>
              <w:spacing w:after="0"/>
              <w:jc w:val="left"/>
            </w:pPr>
            <w:r/>
            <w:r>
              <w:rPr>
                <w:rFonts w:ascii="Calibri" w:hAnsi="Calibri"/>
                <w:b w:val="0"/>
                <w:color w:val="1A1A1A"/>
                <w:sz w:val="24"/>
              </w:rPr>
              <w:t>M5</w:t>
            </w:r>
          </w:p>
        </w:tc>
        <w:tc>
          <w:tcPr>
            <w:tcW w:type="dxa" w:w="2758"/>
          </w:tcPr>
          <w:p>
            <w:pPr>
              <w:spacing w:after="0"/>
              <w:jc w:val="left"/>
            </w:pPr>
            <w:r/>
            <w:r>
              <w:rPr>
                <w:rFonts w:ascii="Calibri" w:hAnsi="Calibri"/>
                <w:b w:val="0"/>
                <w:color w:val="1A1A1A"/>
                <w:sz w:val="24"/>
              </w:rPr>
              <w:t>Onda 1 de POPs, injetáveis e intercorrência</w:t>
            </w:r>
          </w:p>
        </w:tc>
        <w:tc>
          <w:tcPr>
            <w:tcW w:type="dxa" w:w="3301"/>
          </w:tcPr>
          <w:p>
            <w:pPr>
              <w:spacing w:after="0"/>
              <w:jc w:val="left"/>
            </w:pPr>
            <w:r/>
            <w:r>
              <w:rPr>
                <w:rFonts w:ascii="Calibri" w:hAnsi="Calibri"/>
                <w:b w:val="0"/>
                <w:color w:val="1A1A1A"/>
                <w:sz w:val="24"/>
              </w:rPr>
              <w:t>POPs de consulta e planejamento, preenchedor, bioestimulador, toxina botulínica, comprometimento vascular cutâneo, envolvimento oftálmico e neurológico, kit de emergência e reação sistêmica.</w:t>
            </w:r>
          </w:p>
        </w:tc>
        <w:tc>
          <w:tcPr>
            <w:tcW w:type="dxa" w:w="2113"/>
          </w:tcPr>
          <w:p>
            <w:pPr>
              <w:spacing w:after="0"/>
              <w:jc w:val="left"/>
            </w:pPr>
            <w:r/>
            <w:r>
              <w:rPr>
                <w:rFonts w:ascii="Calibri" w:hAnsi="Calibri"/>
                <w:b w:val="0"/>
                <w:color w:val="1A1A1A"/>
                <w:sz w:val="24"/>
              </w:rPr>
              <w:t>Revisão por par e aprovação em ata</w:t>
            </w:r>
          </w:p>
        </w:tc>
      </w:tr>
      <w:tr>
        <w:trPr>
          <w:cantSplit/>
        </w:trPr>
        <w:tc>
          <w:tcPr>
            <w:tcW w:type="dxa" w:w="900"/>
            <w:shd w:val="clear" w:color="auto" w:fill="F2F5F8"/>
          </w:tcPr>
          <w:p>
            <w:pPr>
              <w:spacing w:after="0"/>
              <w:jc w:val="left"/>
            </w:pPr>
            <w:r/>
            <w:r>
              <w:rPr>
                <w:rFonts w:ascii="Calibri" w:hAnsi="Calibri"/>
                <w:b w:val="0"/>
                <w:color w:val="1A1A1A"/>
                <w:sz w:val="24"/>
              </w:rPr>
              <w:t>M6</w:t>
            </w:r>
          </w:p>
        </w:tc>
        <w:tc>
          <w:tcPr>
            <w:tcW w:type="dxa" w:w="2758"/>
            <w:shd w:val="clear" w:color="auto" w:fill="F2F5F8"/>
          </w:tcPr>
          <w:p>
            <w:pPr>
              <w:spacing w:after="0"/>
              <w:jc w:val="left"/>
            </w:pPr>
            <w:r/>
            <w:r>
              <w:rPr>
                <w:rFonts w:ascii="Calibri" w:hAnsi="Calibri"/>
                <w:b w:val="0"/>
                <w:color w:val="1A1A1A"/>
                <w:sz w:val="24"/>
              </w:rPr>
              <w:t>Guia de conformidade regulatória</w:t>
            </w:r>
          </w:p>
        </w:tc>
        <w:tc>
          <w:tcPr>
            <w:tcW w:type="dxa" w:w="3301"/>
            <w:shd w:val="clear" w:color="auto" w:fill="F2F5F8"/>
          </w:tcPr>
          <w:p>
            <w:pPr>
              <w:spacing w:after="0"/>
              <w:jc w:val="left"/>
            </w:pPr>
            <w:r/>
            <w:r>
              <w:rPr>
                <w:rFonts w:ascii="Calibri" w:hAnsi="Calibri"/>
                <w:b w:val="0"/>
                <w:color w:val="1A1A1A"/>
                <w:sz w:val="24"/>
              </w:rPr>
              <w:t>Manual de boas práticas com as quatro camadas normativas, dossiê mínimo por tecnologia e tratamento do uso fora da indicação aprovada, somado à nota técnica de circulação ampla.</w:t>
            </w:r>
          </w:p>
        </w:tc>
        <w:tc>
          <w:tcPr>
            <w:tcW w:type="dxa" w:w="2113"/>
            <w:shd w:val="clear" w:color="auto" w:fill="F2F5F8"/>
          </w:tcPr>
          <w:p>
            <w:pPr>
              <w:spacing w:after="0"/>
              <w:jc w:val="left"/>
            </w:pPr>
            <w:r/>
            <w:r>
              <w:rPr>
                <w:rFonts w:ascii="Calibri" w:hAnsi="Calibri"/>
                <w:b w:val="0"/>
                <w:color w:val="1A1A1A"/>
                <w:sz w:val="24"/>
              </w:rPr>
              <w:t>Revisão interna registrada</w:t>
            </w:r>
          </w:p>
        </w:tc>
      </w:tr>
      <w:tr>
        <w:trPr>
          <w:cantSplit/>
        </w:trPr>
        <w:tc>
          <w:tcPr>
            <w:tcW w:type="dxa" w:w="900"/>
          </w:tcPr>
          <w:p>
            <w:pPr>
              <w:spacing w:after="0"/>
              <w:jc w:val="left"/>
            </w:pPr>
            <w:r/>
            <w:r>
              <w:rPr>
                <w:rFonts w:ascii="Calibri" w:hAnsi="Calibri"/>
                <w:b w:val="0"/>
                <w:color w:val="1A1A1A"/>
                <w:sz w:val="24"/>
              </w:rPr>
              <w:t>M7</w:t>
            </w:r>
          </w:p>
        </w:tc>
        <w:tc>
          <w:tcPr>
            <w:tcW w:type="dxa" w:w="2758"/>
          </w:tcPr>
          <w:p>
            <w:pPr>
              <w:spacing w:after="0"/>
              <w:jc w:val="left"/>
            </w:pPr>
            <w:r/>
            <w:r>
              <w:rPr>
                <w:rFonts w:ascii="Calibri" w:hAnsi="Calibri"/>
                <w:b w:val="0"/>
                <w:color w:val="1A1A1A"/>
                <w:sz w:val="24"/>
              </w:rPr>
              <w:t>Onda 2 de POPs, energia e apoio</w:t>
            </w:r>
          </w:p>
        </w:tc>
        <w:tc>
          <w:tcPr>
            <w:tcW w:type="dxa" w:w="3301"/>
          </w:tcPr>
          <w:p>
            <w:pPr>
              <w:spacing w:after="0"/>
              <w:jc w:val="left"/>
            </w:pPr>
            <w:r/>
            <w:r>
              <w:rPr>
                <w:rFonts w:ascii="Calibri" w:hAnsi="Calibri"/>
                <w:b w:val="0"/>
                <w:color w:val="1A1A1A"/>
                <w:sz w:val="24"/>
              </w:rPr>
              <w:t>POPs de nódulo tardio, infecção, biossegurança, rastreabilidade e preparo, limpeza e conservação de equipamento, mais os quatro transversais de governança.</w:t>
            </w:r>
          </w:p>
        </w:tc>
        <w:tc>
          <w:tcPr>
            <w:tcW w:type="dxa" w:w="2113"/>
          </w:tcPr>
          <w:p>
            <w:pPr>
              <w:spacing w:after="0"/>
              <w:jc w:val="left"/>
            </w:pPr>
            <w:r/>
            <w:r>
              <w:rPr>
                <w:rFonts w:ascii="Calibri" w:hAnsi="Calibri"/>
                <w:b w:val="0"/>
                <w:color w:val="1A1A1A"/>
                <w:sz w:val="24"/>
              </w:rPr>
              <w:t>Revisão por par e aprovação em ata</w:t>
            </w:r>
          </w:p>
        </w:tc>
      </w:tr>
      <w:tr>
        <w:trPr>
          <w:cantSplit/>
        </w:trPr>
        <w:tc>
          <w:tcPr>
            <w:tcW w:type="dxa" w:w="900"/>
            <w:shd w:val="clear" w:color="auto" w:fill="F2F5F8"/>
          </w:tcPr>
          <w:p>
            <w:pPr>
              <w:spacing w:after="0"/>
              <w:jc w:val="left"/>
            </w:pPr>
            <w:r/>
            <w:r>
              <w:rPr>
                <w:rFonts w:ascii="Calibri" w:hAnsi="Calibri"/>
                <w:b w:val="0"/>
                <w:color w:val="1A1A1A"/>
                <w:sz w:val="24"/>
              </w:rPr>
              <w:t>M8</w:t>
            </w:r>
          </w:p>
        </w:tc>
        <w:tc>
          <w:tcPr>
            <w:tcW w:type="dxa" w:w="2758"/>
            <w:shd w:val="clear" w:color="auto" w:fill="F2F5F8"/>
          </w:tcPr>
          <w:p>
            <w:pPr>
              <w:spacing w:after="0"/>
              <w:jc w:val="left"/>
            </w:pPr>
            <w:r/>
            <w:r>
              <w:rPr>
                <w:rFonts w:ascii="Calibri" w:hAnsi="Calibri"/>
                <w:b w:val="0"/>
                <w:color w:val="1A1A1A"/>
                <w:sz w:val="24"/>
              </w:rPr>
              <w:t>Manual de boas práticas e modelos de termo</w:t>
            </w:r>
          </w:p>
        </w:tc>
        <w:tc>
          <w:tcPr>
            <w:tcW w:type="dxa" w:w="3301"/>
            <w:shd w:val="clear" w:color="auto" w:fill="F2F5F8"/>
          </w:tcPr>
          <w:p>
            <w:pPr>
              <w:spacing w:after="0"/>
              <w:jc w:val="left"/>
            </w:pPr>
            <w:r/>
            <w:r>
              <w:rPr>
                <w:rFonts w:ascii="Calibri" w:hAnsi="Calibri"/>
                <w:b w:val="0"/>
                <w:color w:val="1A1A1A"/>
                <w:sz w:val="24"/>
              </w:rPr>
              <w:t>Manual concluído e três minutas de termo produzidas: consentimento por procedimento, autorização de imagem e ciência sobre uso fora da indicação, com cartão de orientação pós-procedimento.</w:t>
            </w:r>
          </w:p>
        </w:tc>
        <w:tc>
          <w:tcPr>
            <w:tcW w:type="dxa" w:w="2113"/>
            <w:shd w:val="clear" w:color="auto" w:fill="F2F5F8"/>
          </w:tcPr>
          <w:p>
            <w:pPr>
              <w:spacing w:after="0"/>
              <w:jc w:val="left"/>
            </w:pPr>
            <w:r/>
            <w:r>
              <w:rPr>
                <w:rFonts w:ascii="Calibri" w:hAnsi="Calibri"/>
                <w:b w:val="0"/>
                <w:color w:val="1A1A1A"/>
                <w:sz w:val="24"/>
              </w:rPr>
              <w:t>Revisão jurídica das minutas</w:t>
            </w:r>
          </w:p>
        </w:tc>
      </w:tr>
      <w:tr>
        <w:trPr>
          <w:cantSplit/>
        </w:trPr>
        <w:tc>
          <w:tcPr>
            <w:tcW w:type="dxa" w:w="900"/>
          </w:tcPr>
          <w:p>
            <w:pPr>
              <w:spacing w:after="0"/>
              <w:jc w:val="left"/>
            </w:pPr>
            <w:r/>
            <w:r>
              <w:rPr>
                <w:rFonts w:ascii="Calibri" w:hAnsi="Calibri"/>
                <w:b w:val="0"/>
                <w:color w:val="1A1A1A"/>
                <w:sz w:val="24"/>
              </w:rPr>
              <w:t>M9</w:t>
            </w:r>
          </w:p>
        </w:tc>
        <w:tc>
          <w:tcPr>
            <w:tcW w:type="dxa" w:w="2758"/>
          </w:tcPr>
          <w:p>
            <w:pPr>
              <w:spacing w:after="0"/>
              <w:jc w:val="left"/>
            </w:pPr>
            <w:r/>
            <w:r>
              <w:rPr>
                <w:rFonts w:ascii="Calibri" w:hAnsi="Calibri"/>
                <w:b w:val="0"/>
                <w:color w:val="1A1A1A"/>
                <w:sz w:val="24"/>
              </w:rPr>
              <w:t>Relatório-piloto de avaliação tecnológica</w:t>
            </w:r>
          </w:p>
        </w:tc>
        <w:tc>
          <w:tcPr>
            <w:tcW w:type="dxa" w:w="3301"/>
          </w:tcPr>
          <w:p>
            <w:pPr>
              <w:spacing w:after="0"/>
              <w:jc w:val="left"/>
            </w:pPr>
            <w:r/>
            <w:r>
              <w:rPr>
                <w:rFonts w:ascii="Calibri" w:hAnsi="Calibri"/>
                <w:b w:val="0"/>
                <w:color w:val="1A1A1A"/>
                <w:sz w:val="24"/>
              </w:rPr>
              <w:t>Radar tecnológico do ciclo e aplicação demonstrativa da matriz à tecnologia proposta como piloto, com as pendências de verificação declaradas.</w:t>
            </w:r>
          </w:p>
        </w:tc>
        <w:tc>
          <w:tcPr>
            <w:tcW w:type="dxa" w:w="2113"/>
          </w:tcPr>
          <w:p>
            <w:pPr>
              <w:spacing w:after="0"/>
              <w:jc w:val="left"/>
            </w:pPr>
            <w:r/>
            <w:r>
              <w:rPr>
                <w:rFonts w:ascii="Calibri" w:hAnsi="Calibri"/>
                <w:b w:val="0"/>
                <w:color w:val="1A1A1A"/>
                <w:sz w:val="24"/>
              </w:rPr>
              <w:t>Deliberação sobre o número de dimensões do indicador</w:t>
            </w:r>
          </w:p>
        </w:tc>
      </w:tr>
      <w:tr>
        <w:trPr>
          <w:cantSplit/>
        </w:trPr>
        <w:tc>
          <w:tcPr>
            <w:tcW w:type="dxa" w:w="900"/>
            <w:shd w:val="clear" w:color="auto" w:fill="F2F5F8"/>
          </w:tcPr>
          <w:p>
            <w:pPr>
              <w:spacing w:after="0"/>
              <w:jc w:val="left"/>
            </w:pPr>
            <w:r/>
            <w:r>
              <w:rPr>
                <w:rFonts w:ascii="Calibri" w:hAnsi="Calibri"/>
                <w:b w:val="0"/>
                <w:color w:val="1A1A1A"/>
                <w:sz w:val="24"/>
              </w:rPr>
              <w:t>M10</w:t>
            </w:r>
          </w:p>
        </w:tc>
        <w:tc>
          <w:tcPr>
            <w:tcW w:type="dxa" w:w="2758"/>
            <w:shd w:val="clear" w:color="auto" w:fill="F2F5F8"/>
          </w:tcPr>
          <w:p>
            <w:pPr>
              <w:spacing w:after="0"/>
              <w:jc w:val="left"/>
            </w:pPr>
            <w:r/>
            <w:r>
              <w:rPr>
                <w:rFonts w:ascii="Calibri" w:hAnsi="Calibri"/>
                <w:b w:val="0"/>
                <w:color w:val="1A1A1A"/>
                <w:sz w:val="24"/>
              </w:rPr>
              <w:t>Submissão à Diretoria Executiva</w:t>
            </w:r>
          </w:p>
        </w:tc>
        <w:tc>
          <w:tcPr>
            <w:tcW w:type="dxa" w:w="3301"/>
            <w:shd w:val="clear" w:color="auto" w:fill="F2F5F8"/>
          </w:tcPr>
          <w:p>
            <w:pPr>
              <w:spacing w:after="0"/>
              <w:jc w:val="left"/>
            </w:pPr>
            <w:r/>
            <w:r>
              <w:rPr>
                <w:rFonts w:ascii="Calibri" w:hAnsi="Calibri"/>
                <w:b w:val="0"/>
                <w:color w:val="1A1A1A"/>
                <w:sz w:val="24"/>
              </w:rPr>
              <w:t>Dossiê completo com ofício de encaminhamento, relação dos produtos, anexo de pendências que dependem de manifestação institucional e termo de entrega.</w:t>
            </w:r>
          </w:p>
        </w:tc>
        <w:tc>
          <w:tcPr>
            <w:tcW w:type="dxa" w:w="2113"/>
            <w:shd w:val="clear" w:color="auto" w:fill="F2F5F8"/>
          </w:tcPr>
          <w:p>
            <w:pPr>
              <w:spacing w:after="0"/>
              <w:jc w:val="left"/>
            </w:pPr>
            <w:r/>
            <w:r>
              <w:rPr>
                <w:rFonts w:ascii="Calibri" w:hAnsi="Calibri"/>
                <w:b w:val="0"/>
                <w:color w:val="1A1A1A"/>
                <w:sz w:val="24"/>
              </w:rPr>
              <w:t>Assinatura e protocolo</w:t>
            </w:r>
          </w:p>
        </w:tc>
      </w:tr>
      <w:tr>
        <w:trPr>
          <w:cantSplit/>
        </w:trPr>
        <w:tc>
          <w:tcPr>
            <w:tcW w:type="dxa" w:w="900"/>
          </w:tcPr>
          <w:p>
            <w:pPr>
              <w:spacing w:after="0"/>
              <w:jc w:val="left"/>
            </w:pPr>
            <w:r/>
            <w:r>
              <w:rPr>
                <w:rFonts w:ascii="Calibri" w:hAnsi="Calibri"/>
                <w:b w:val="0"/>
                <w:color w:val="1A1A1A"/>
                <w:sz w:val="24"/>
              </w:rPr>
              <w:t>M11</w:t>
            </w:r>
          </w:p>
        </w:tc>
        <w:tc>
          <w:tcPr>
            <w:tcW w:type="dxa" w:w="2758"/>
          </w:tcPr>
          <w:p>
            <w:pPr>
              <w:spacing w:after="0"/>
              <w:jc w:val="left"/>
            </w:pPr>
            <w:r/>
            <w:r>
              <w:rPr>
                <w:rFonts w:ascii="Calibri" w:hAnsi="Calibri"/>
                <w:b w:val="0"/>
                <w:color w:val="1A1A1A"/>
                <w:sz w:val="24"/>
              </w:rPr>
              <w:t>Fórum de Tecnologias Emergentes</w:t>
            </w:r>
          </w:p>
        </w:tc>
        <w:tc>
          <w:tcPr>
            <w:tcW w:type="dxa" w:w="3301"/>
          </w:tcPr>
          <w:p>
            <w:pPr>
              <w:spacing w:after="0"/>
              <w:jc w:val="left"/>
            </w:pPr>
            <w:r/>
            <w:r>
              <w:rPr>
                <w:rFonts w:ascii="Calibri" w:hAnsi="Calibri"/>
                <w:b w:val="0"/>
                <w:color w:val="1A1A1A"/>
                <w:sz w:val="24"/>
              </w:rPr>
              <w:t>Plano do evento com programa de quatro horas, cronograma de produção, material do participante, indicadores e ata de entrega oficial.</w:t>
            </w:r>
          </w:p>
        </w:tc>
        <w:tc>
          <w:tcPr>
            <w:tcW w:type="dxa" w:w="2113"/>
          </w:tcPr>
          <w:p>
            <w:pPr>
              <w:spacing w:after="0"/>
              <w:jc w:val="left"/>
            </w:pPr>
            <w:r/>
            <w:r>
              <w:rPr>
                <w:rFonts w:ascii="Calibri" w:hAnsi="Calibri"/>
                <w:b w:val="0"/>
                <w:color w:val="1A1A1A"/>
                <w:sz w:val="24"/>
              </w:rPr>
              <w:t>Deliberação sobre data e realização do evento</w:t>
            </w:r>
          </w:p>
        </w:tc>
      </w:tr>
      <w:tr>
        <w:trPr>
          <w:cantSplit/>
        </w:trPr>
        <w:tc>
          <w:tcPr>
            <w:tcW w:type="dxa" w:w="900"/>
            <w:shd w:val="clear" w:color="auto" w:fill="F2F5F8"/>
          </w:tcPr>
          <w:p>
            <w:pPr>
              <w:spacing w:after="0"/>
              <w:jc w:val="left"/>
            </w:pPr>
            <w:r/>
            <w:r>
              <w:rPr>
                <w:rFonts w:ascii="Calibri" w:hAnsi="Calibri"/>
                <w:b w:val="0"/>
                <w:color w:val="1A1A1A"/>
                <w:sz w:val="24"/>
              </w:rPr>
              <w:t>M12</w:t>
            </w:r>
          </w:p>
        </w:tc>
        <w:tc>
          <w:tcPr>
            <w:tcW w:type="dxa" w:w="2758"/>
            <w:shd w:val="clear" w:color="auto" w:fill="F2F5F8"/>
          </w:tcPr>
          <w:p>
            <w:pPr>
              <w:spacing w:after="0"/>
              <w:jc w:val="left"/>
            </w:pPr>
            <w:r/>
            <w:r>
              <w:rPr>
                <w:rFonts w:ascii="Calibri" w:hAnsi="Calibri"/>
                <w:b w:val="0"/>
                <w:color w:val="1A1A1A"/>
                <w:sz w:val="24"/>
              </w:rPr>
              <w:t>Seis reuniões documentadas</w:t>
            </w:r>
          </w:p>
        </w:tc>
        <w:tc>
          <w:tcPr>
            <w:tcW w:type="dxa" w:w="3301"/>
            <w:shd w:val="clear" w:color="auto" w:fill="F2F5F8"/>
          </w:tcPr>
          <w:p>
            <w:pPr>
              <w:spacing w:after="0"/>
              <w:jc w:val="left"/>
            </w:pPr>
            <w:r/>
            <w:r>
              <w:rPr>
                <w:rFonts w:ascii="Calibri" w:hAnsi="Calibri"/>
                <w:b w:val="0"/>
                <w:color w:val="1A1A1A"/>
                <w:sz w:val="24"/>
              </w:rPr>
              <w:t>Modelo padronizado de ata, controle das seis reuniões do ciclo e pauta mínima por reunião, com vinculação de cada item às metas.</w:t>
            </w:r>
          </w:p>
        </w:tc>
        <w:tc>
          <w:tcPr>
            <w:tcW w:type="dxa" w:w="2113"/>
            <w:shd w:val="clear" w:color="auto" w:fill="F2F5F8"/>
          </w:tcPr>
          <w:p>
            <w:pPr>
              <w:spacing w:after="0"/>
              <w:jc w:val="left"/>
            </w:pPr>
            <w:r/>
            <w:r>
              <w:rPr>
                <w:rFonts w:ascii="Calibri" w:hAnsi="Calibri"/>
                <w:b w:val="0"/>
                <w:color w:val="1A1A1A"/>
                <w:sz w:val="24"/>
              </w:rPr>
              <w:t>Lavratura efetiva das seis atas</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Como esta tabela deve ser lida</w:t>
            </w:r>
          </w:p>
          <w:p>
            <w:pPr>
              <w:spacing w:after="0"/>
              <w:jc w:val="both"/>
            </w:pPr>
            <w:r>
              <w:rPr>
                <w:rFonts w:ascii="Calibri" w:hAnsi="Calibri"/>
                <w:color w:val="1A1A1A"/>
                <w:sz w:val="24"/>
              </w:rPr>
              <w:t>Produção entregue não equivale a meta cumprida. Nenhuma das doze metas se comprova apenas com o documento: todas exigem um ato de registro, de aprovação ou de protocolo. O Núcleo executou o que lhe cabe. O que resta são atos do colegiado e da Diretoria Executiva, e o documento 14 existe para registrá-los.</w:t>
            </w:r>
          </w:p>
        </w:tc>
      </w:tr>
    </w:tbl>
    <w:p>
      <w:pPr>
        <w:spacing w:after="80"/>
      </w:pPr>
    </w:p>
    <w:p>
      <w:pPr>
        <w:keepNext/>
        <w:spacing w:before="240" w:after="80"/>
        <w:jc w:val="left"/>
      </w:pPr>
      <w:r>
        <w:rPr>
          <w:rFonts w:ascii="Calibri" w:hAnsi="Calibri"/>
          <w:b/>
          <w:color w:val="143C64"/>
          <w:sz w:val="26"/>
        </w:rPr>
        <w:t>6.1  As três urgências, em ordem</w:t>
      </w:r>
    </w:p>
    <w:p>
      <w:pPr>
        <w:pStyle w:val="ListNumber"/>
        <w:spacing w:after="60"/>
        <w:ind w:left="397"/>
        <w:jc w:val="both"/>
      </w:pPr>
      <w:r>
        <w:rPr>
          <w:rFonts w:ascii="Calibri" w:hAnsi="Calibri"/>
          <w:color w:val="1A1A1A"/>
          <w:sz w:val="24"/>
        </w:rPr>
        <w:t>Lavrar as atas das reuniões já realizadas. É a única meta que não se recupera em dezembro, porque ata registra reunião ocorrida em data certa.</w:t>
      </w:r>
    </w:p>
    <w:p>
      <w:pPr>
        <w:pStyle w:val="ListNumber"/>
        <w:spacing w:after="60"/>
        <w:ind w:left="397"/>
        <w:jc w:val="both"/>
      </w:pPr>
      <w:r>
        <w:rPr>
          <w:rFonts w:ascii="Calibri" w:hAnsi="Calibri"/>
          <w:color w:val="1A1A1A"/>
          <w:sz w:val="24"/>
        </w:rPr>
        <w:t>Deliberar sobre o indicador da Meta M9, harmonizando-o com a matriz de oito dimensões. Sem isso, a entrega permanece formalmente não coincidente com o indicador aprovado.</w:t>
      </w:r>
    </w:p>
    <w:p>
      <w:pPr>
        <w:pStyle w:val="ListNumber"/>
        <w:spacing w:after="60"/>
        <w:ind w:left="397"/>
        <w:jc w:val="both"/>
      </w:pPr>
      <w:r>
        <w:rPr>
          <w:rFonts w:ascii="Calibri" w:hAnsi="Calibri"/>
          <w:color w:val="1A1A1A"/>
          <w:sz w:val="24"/>
        </w:rPr>
        <w:t>Definir a data do Fórum até 30 de setembro. Toda a produção do documento 26 depende desse marco.</w:t>
      </w:r>
    </w:p>
    <w:p>
      <w:pPr>
        <w:keepNext/>
        <w:spacing w:before="240" w:after="80"/>
        <w:jc w:val="left"/>
      </w:pPr>
      <w:r>
        <w:rPr>
          <w:rFonts w:ascii="Calibri" w:hAnsi="Calibri"/>
          <w:b/>
          <w:color w:val="143C64"/>
          <w:sz w:val="26"/>
        </w:rPr>
        <w:t>6.2  Pendências declaradas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5312"/>
        <w:gridCol w:w="3760"/>
      </w:tblGrid>
      <w:tr>
        <w:trPr>
          <w:cantSplit/>
          <w:tblHeader/>
        </w:trPr>
        <w:tc>
          <w:tcPr>
            <w:tcW w:type="dxa" w:w="5312"/>
            <w:shd w:val="clear" w:color="auto" w:fill="143C64"/>
          </w:tcPr>
          <w:p>
            <w:pPr>
              <w:spacing w:after="0"/>
              <w:jc w:val="left"/>
            </w:pPr>
            <w:r/>
            <w:r>
              <w:rPr>
                <w:rFonts w:ascii="Calibri" w:hAnsi="Calibri"/>
                <w:b/>
                <w:color w:val="FFFFFF"/>
                <w:sz w:val="24"/>
              </w:rPr>
              <w:t>Pendência</w:t>
            </w:r>
          </w:p>
        </w:tc>
        <w:tc>
          <w:tcPr>
            <w:tcW w:type="dxa" w:w="3760"/>
            <w:shd w:val="clear" w:color="auto" w:fill="143C64"/>
          </w:tcPr>
          <w:p>
            <w:pPr>
              <w:spacing w:after="0"/>
              <w:jc w:val="left"/>
            </w:pPr>
            <w:r/>
            <w:r>
              <w:rPr>
                <w:rFonts w:ascii="Calibri" w:hAnsi="Calibri"/>
                <w:b/>
                <w:color w:val="FFFFFF"/>
                <w:sz w:val="24"/>
              </w:rPr>
              <w:t>A quem cabe</w:t>
            </w:r>
          </w:p>
        </w:tc>
      </w:tr>
      <w:tr>
        <w:trPr>
          <w:cantSplit/>
        </w:trPr>
        <w:tc>
          <w:tcPr>
            <w:tcW w:type="dxa" w:w="5312"/>
          </w:tcPr>
          <w:p>
            <w:pPr>
              <w:spacing w:after="0"/>
              <w:jc w:val="left"/>
            </w:pPr>
            <w:r/>
            <w:r>
              <w:rPr>
                <w:rFonts w:ascii="Calibri" w:hAnsi="Calibri"/>
                <w:b w:val="0"/>
                <w:color w:val="1A1A1A"/>
                <w:sz w:val="24"/>
              </w:rPr>
              <w:t>Revisão jurídica das minutas de termo de consentimento.</w:t>
            </w:r>
          </w:p>
        </w:tc>
        <w:tc>
          <w:tcPr>
            <w:tcW w:type="dxa" w:w="3760"/>
          </w:tcPr>
          <w:p>
            <w:pPr>
              <w:spacing w:after="0"/>
              <w:jc w:val="left"/>
            </w:pPr>
            <w:r/>
            <w:r>
              <w:rPr>
                <w:rFonts w:ascii="Calibri" w:hAnsi="Calibri"/>
                <w:b w:val="0"/>
                <w:color w:val="1A1A1A"/>
                <w:sz w:val="24"/>
              </w:rPr>
              <w:t>Assessoria jurídica do CRO-MG</w:t>
            </w:r>
          </w:p>
        </w:tc>
      </w:tr>
      <w:tr>
        <w:trPr>
          <w:cantSplit/>
        </w:trPr>
        <w:tc>
          <w:tcPr>
            <w:tcW w:type="dxa" w:w="5312"/>
            <w:shd w:val="clear" w:color="auto" w:fill="F2F5F8"/>
          </w:tcPr>
          <w:p>
            <w:pPr>
              <w:spacing w:after="0"/>
              <w:jc w:val="left"/>
            </w:pPr>
            <w:r/>
            <w:r>
              <w:rPr>
                <w:rFonts w:ascii="Calibri" w:hAnsi="Calibri"/>
                <w:b w:val="0"/>
                <w:color w:val="1A1A1A"/>
                <w:sz w:val="24"/>
              </w:rPr>
              <w:t>Definição de escopo para procedimentos apoiados por imagem e emissão de laudo.</w:t>
            </w:r>
          </w:p>
        </w:tc>
        <w:tc>
          <w:tcPr>
            <w:tcW w:type="dxa" w:w="3760"/>
            <w:shd w:val="clear" w:color="auto" w:fill="F2F5F8"/>
          </w:tcPr>
          <w:p>
            <w:pPr>
              <w:spacing w:after="0"/>
              <w:jc w:val="left"/>
            </w:pPr>
            <w:r/>
            <w:r>
              <w:rPr>
                <w:rFonts w:ascii="Calibri" w:hAnsi="Calibri"/>
                <w:b w:val="0"/>
                <w:color w:val="1A1A1A"/>
                <w:sz w:val="24"/>
              </w:rPr>
              <w:t>Manifestação institucional, após desfecho processual</w:t>
            </w:r>
          </w:p>
        </w:tc>
      </w:tr>
      <w:tr>
        <w:trPr>
          <w:cantSplit/>
        </w:trPr>
        <w:tc>
          <w:tcPr>
            <w:tcW w:type="dxa" w:w="5312"/>
          </w:tcPr>
          <w:p>
            <w:pPr>
              <w:spacing w:after="0"/>
              <w:jc w:val="left"/>
            </w:pPr>
            <w:r/>
            <w:r>
              <w:rPr>
                <w:rFonts w:ascii="Calibri" w:hAnsi="Calibri"/>
                <w:b w:val="0"/>
                <w:color w:val="1A1A1A"/>
                <w:sz w:val="24"/>
              </w:rPr>
              <w:t>Composição do kit de resposta a intercorrências para o serviço odontológico.</w:t>
            </w:r>
          </w:p>
        </w:tc>
        <w:tc>
          <w:tcPr>
            <w:tcW w:type="dxa" w:w="3760"/>
          </w:tcPr>
          <w:p>
            <w:pPr>
              <w:spacing w:after="0"/>
              <w:jc w:val="left"/>
            </w:pPr>
            <w:r/>
            <w:r>
              <w:rPr>
                <w:rFonts w:ascii="Calibri" w:hAnsi="Calibri"/>
                <w:b w:val="0"/>
                <w:color w:val="1A1A1A"/>
                <w:sz w:val="24"/>
              </w:rPr>
              <w:t>Deliberação do colegiado, com apoio jurídico e sanitário</w:t>
            </w:r>
          </w:p>
        </w:tc>
      </w:tr>
      <w:tr>
        <w:trPr>
          <w:cantSplit/>
        </w:trPr>
        <w:tc>
          <w:tcPr>
            <w:tcW w:type="dxa" w:w="5312"/>
            <w:shd w:val="clear" w:color="auto" w:fill="F2F5F8"/>
          </w:tcPr>
          <w:p>
            <w:pPr>
              <w:spacing w:after="0"/>
              <w:jc w:val="left"/>
            </w:pPr>
            <w:r/>
            <w:r>
              <w:rPr>
                <w:rFonts w:ascii="Calibri" w:hAnsi="Calibri"/>
                <w:b w:val="0"/>
                <w:color w:val="1A1A1A"/>
                <w:sz w:val="24"/>
              </w:rPr>
              <w:t>Panorama epidemiológico de intercorrências em Minas Gerais.</w:t>
            </w:r>
          </w:p>
        </w:tc>
        <w:tc>
          <w:tcPr>
            <w:tcW w:type="dxa" w:w="3760"/>
            <w:shd w:val="clear" w:color="auto" w:fill="F2F5F8"/>
          </w:tcPr>
          <w:p>
            <w:pPr>
              <w:spacing w:after="0"/>
              <w:jc w:val="left"/>
            </w:pPr>
            <w:r/>
            <w:r>
              <w:rPr>
                <w:rFonts w:ascii="Calibri" w:hAnsi="Calibri"/>
                <w:b w:val="0"/>
                <w:color w:val="1A1A1A"/>
                <w:sz w:val="24"/>
              </w:rPr>
              <w:t>Depende do protocolo dos ofícios e da execução do levantamento</w:t>
            </w:r>
          </w:p>
        </w:tc>
      </w:tr>
      <w:tr>
        <w:trPr>
          <w:cantSplit/>
        </w:trPr>
        <w:tc>
          <w:tcPr>
            <w:tcW w:type="dxa" w:w="5312"/>
          </w:tcPr>
          <w:p>
            <w:pPr>
              <w:spacing w:after="0"/>
              <w:jc w:val="left"/>
            </w:pPr>
            <w:r/>
            <w:r>
              <w:rPr>
                <w:rFonts w:ascii="Calibri" w:hAnsi="Calibri"/>
                <w:b w:val="0"/>
                <w:color w:val="1A1A1A"/>
                <w:sz w:val="24"/>
              </w:rPr>
              <w:t>Documentação da consulta ao sistema oficial de atos do CFO.</w:t>
            </w:r>
          </w:p>
        </w:tc>
        <w:tc>
          <w:tcPr>
            <w:tcW w:type="dxa" w:w="3760"/>
          </w:tcPr>
          <w:p>
            <w:pPr>
              <w:spacing w:after="0"/>
              <w:jc w:val="left"/>
            </w:pPr>
            <w:r/>
            <w:r>
              <w:rPr>
                <w:rFonts w:ascii="Calibri" w:hAnsi="Calibri"/>
                <w:b w:val="0"/>
                <w:color w:val="1A1A1A"/>
                <w:sz w:val="24"/>
              </w:rPr>
              <w:t>Responsável a designar em ata</w:t>
            </w:r>
          </w:p>
        </w:tc>
      </w:tr>
      <w:tr>
        <w:trPr>
          <w:cantSplit/>
        </w:trPr>
        <w:tc>
          <w:tcPr>
            <w:tcW w:type="dxa" w:w="5312"/>
            <w:shd w:val="clear" w:color="auto" w:fill="F2F5F8"/>
          </w:tcPr>
          <w:p>
            <w:pPr>
              <w:spacing w:after="0"/>
              <w:jc w:val="left"/>
            </w:pPr>
            <w:r/>
            <w:r>
              <w:rPr>
                <w:rFonts w:ascii="Calibri" w:hAnsi="Calibri"/>
                <w:b w:val="0"/>
                <w:color w:val="1A1A1A"/>
                <w:sz w:val="24"/>
              </w:rPr>
              <w:t>Reexportação de sete cards do carrossel institucional.</w:t>
            </w:r>
          </w:p>
        </w:tc>
        <w:tc>
          <w:tcPr>
            <w:tcW w:type="dxa" w:w="3760"/>
            <w:shd w:val="clear" w:color="auto" w:fill="F2F5F8"/>
          </w:tcPr>
          <w:p>
            <w:pPr>
              <w:spacing w:after="0"/>
              <w:jc w:val="left"/>
            </w:pPr>
            <w:r/>
            <w:r>
              <w:rPr>
                <w:rFonts w:ascii="Calibri" w:hAnsi="Calibri"/>
                <w:b w:val="0"/>
                <w:color w:val="1A1A1A"/>
                <w:sz w:val="24"/>
              </w:rPr>
              <w:t>Área de Comunicação, conforme especificação do documento 31</w:t>
            </w:r>
          </w:p>
        </w:tc>
      </w:tr>
      <w:tr>
        <w:trPr>
          <w:cantSplit/>
        </w:trPr>
        <w:tc>
          <w:tcPr>
            <w:tcW w:type="dxa" w:w="5312"/>
          </w:tcPr>
          <w:p>
            <w:pPr>
              <w:spacing w:after="0"/>
              <w:jc w:val="left"/>
            </w:pPr>
            <w:r/>
            <w:r>
              <w:rPr>
                <w:rFonts w:ascii="Calibri" w:hAnsi="Calibri"/>
                <w:b w:val="0"/>
                <w:color w:val="1A1A1A"/>
                <w:sz w:val="24"/>
              </w:rPr>
              <w:t>Fonte das condutas prescritivas herdadas de contribuição interna.</w:t>
            </w:r>
          </w:p>
        </w:tc>
        <w:tc>
          <w:tcPr>
            <w:tcW w:type="dxa" w:w="3760"/>
          </w:tcPr>
          <w:p>
            <w:pPr>
              <w:spacing w:after="0"/>
              <w:jc w:val="left"/>
            </w:pPr>
            <w:r/>
            <w:r>
              <w:rPr>
                <w:rFonts w:ascii="Calibri" w:hAnsi="Calibri"/>
                <w:b w:val="0"/>
                <w:color w:val="1A1A1A"/>
                <w:sz w:val="24"/>
              </w:rPr>
              <w:t>Autora da contribuição e deliberação do colegiado</w:t>
            </w:r>
          </w:p>
        </w:tc>
      </w:tr>
    </w:tbl>
    <w:p>
      <w:r>
        <w:br w:type="page"/>
      </w:r>
    </w:p>
    <w:p>
      <w:pPr>
        <w:keepNext/>
        <w:spacing w:before="360" w:after="160"/>
        <w:jc w:val="left"/>
        <w:pBdr>
          <w:bottom w:val="single" w:sz="8" w:space="4" w:color="143C64"/>
        </w:pBdr>
      </w:pPr>
      <w:r>
        <w:rPr>
          <w:rFonts w:ascii="Calibri" w:hAnsi="Calibri"/>
          <w:b/>
          <w:color w:val="143C64"/>
          <w:sz w:val="30"/>
        </w:rPr>
        <w:t>7  Fatos externos registrados</w:t>
      </w:r>
    </w:p>
    <w:p>
      <w:pPr>
        <w:spacing w:after="120"/>
        <w:jc w:val="both"/>
      </w:pPr>
      <w:r>
        <w:rPr>
          <w:rFonts w:ascii="Calibri" w:hAnsi="Calibri"/>
          <w:b w:val="0"/>
          <w:i w:val="0"/>
          <w:color w:val="1A1A1A"/>
          <w:sz w:val="24"/>
        </w:rPr>
        <w:t>Duas controvérsias judiciais em curso alcançam a camada de exercício profissional. São registradas por dever de atualidade, com data e número de processo. O Núcleo não se manifesta sobre o mérito, matéria estranha à sua competência técnica. O pacote não depende de nenhuma das duas, pela decisão de ancoragem sanitária descrita na seção 4.</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conexa, verificado em 25 de agosto de 2026</w:t>
            </w:r>
          </w:p>
          <w:p>
            <w:pPr>
              <w:spacing w:after="0"/>
              <w:jc w:val="both"/>
            </w:pPr>
            <w:r>
              <w:rPr>
                <w:rFonts w:ascii="Calibri" w:hAnsi="Calibri"/>
                <w:color w:val="1A1A1A"/>
                <w:sz w:val="24"/>
              </w:rPr>
              <w:t>Em 6 de agosto de 2026, a 3ª Vara Federal Cível da Seção Judiciária do Distrito Federal deferiu liminar na Ação Civil Pública nº 1084782-29.2026.4.01.3400, ajuizada pelo Conselho Federal de Medicina, pela Associação Médica Brasileira e pela Sociedade Brasileira de Anestesiologia, suspendendo parcialmente a Resolução CFO nº 295/2026. Conforme as fontes consultadas, a decisão suspendeu os dispositivos que autorizam, regulamentam ou viabilizam a realização de sedação profunda por cirurgiões-dentistas, e vedou ao CFO conceder ou registrar a habilitação correspondente e reconhecer cursos com essa finalidade, tendo o magistrado assentado, em análise preliminar, que a sedação profunda é atividade privativa do médico nos termos da Lei nº 12.842/2013. Registra-se por dever de atualidade, e não como posição do Núcleo sobre o mérito, matéria estranha à sua competência técnica. Consequência operacional para este pacote: nenhum documento do Núcleo 5 pressupõe sedação profunda como recurso disponível, e os POPs e o fluxograma trabalham com medidas de suporte compatíveis com a capacitação do profissional e com o regime jurídico vigente na data desta versão.</w:t>
            </w:r>
          </w:p>
        </w:tc>
      </w:tr>
    </w:tbl>
    <w:p>
      <w:pPr>
        <w:spacing w:after="80"/>
      </w:pPr>
    </w:p>
    <w:p>
      <w:pPr>
        <w:keepNext/>
        <w:spacing w:before="360" w:after="160"/>
        <w:jc w:val="left"/>
        <w:pBdr>
          <w:bottom w:val="single" w:sz="8" w:space="4" w:color="143C64"/>
        </w:pBdr>
      </w:pPr>
      <w:r>
        <w:rPr>
          <w:rFonts w:ascii="Calibri" w:hAnsi="Calibri"/>
          <w:b/>
          <w:color w:val="143C64"/>
          <w:sz w:val="30"/>
        </w:rPr>
        <w:t>8  Como usar e como distribuir</w:t>
      </w:r>
    </w:p>
    <w:p>
      <w:pPr>
        <w:spacing w:after="120"/>
        <w:jc w:val="both"/>
      </w:pPr>
      <w:r>
        <w:rPr>
          <w:rFonts w:ascii="Calibri" w:hAnsi="Calibri"/>
          <w:b w:val="0"/>
          <w:i w:val="0"/>
          <w:color w:val="1A1A1A"/>
          <w:sz w:val="24"/>
        </w:rPr>
        <w:t>Todos os integrantes recebem a pasta completa. Nenhum documento é restrito. A tabela abaixo indica apenas por onde começar, conforme o que a pessoa vai fazer.</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02"/>
        <w:gridCol w:w="5370"/>
      </w:tblGrid>
      <w:tr>
        <w:trPr>
          <w:cantSplit/>
          <w:tblHeader/>
        </w:trPr>
        <w:tc>
          <w:tcPr>
            <w:tcW w:type="dxa" w:w="3702"/>
            <w:shd w:val="clear" w:color="auto" w:fill="143C64"/>
          </w:tcPr>
          <w:p>
            <w:pPr>
              <w:spacing w:after="0"/>
              <w:jc w:val="left"/>
            </w:pPr>
            <w:r/>
            <w:r>
              <w:rPr>
                <w:rFonts w:ascii="Calibri" w:hAnsi="Calibri"/>
                <w:b/>
                <w:color w:val="FFFFFF"/>
                <w:sz w:val="24"/>
              </w:rPr>
              <w:t>Se você vai</w:t>
            </w:r>
          </w:p>
        </w:tc>
        <w:tc>
          <w:tcPr>
            <w:tcW w:type="dxa" w:w="5370"/>
            <w:shd w:val="clear" w:color="auto" w:fill="143C64"/>
          </w:tcPr>
          <w:p>
            <w:pPr>
              <w:spacing w:after="0"/>
              <w:jc w:val="left"/>
            </w:pPr>
            <w:r/>
            <w:r>
              <w:rPr>
                <w:rFonts w:ascii="Calibri" w:hAnsi="Calibri"/>
                <w:b/>
                <w:color w:val="FFFFFF"/>
                <w:sz w:val="24"/>
              </w:rPr>
              <w:t>Comece pelos documentos</w:t>
            </w:r>
          </w:p>
        </w:tc>
      </w:tr>
      <w:tr>
        <w:trPr>
          <w:cantSplit/>
        </w:trPr>
        <w:tc>
          <w:tcPr>
            <w:tcW w:type="dxa" w:w="3702"/>
          </w:tcPr>
          <w:p>
            <w:pPr>
              <w:spacing w:after="0"/>
              <w:jc w:val="left"/>
            </w:pPr>
            <w:r/>
            <w:r>
              <w:rPr>
                <w:rFonts w:ascii="Calibri" w:hAnsi="Calibri"/>
                <w:b w:val="0"/>
                <w:color w:val="1A1A1A"/>
                <w:sz w:val="24"/>
              </w:rPr>
              <w:t>Implantar o pacote no seu serviço</w:t>
            </w:r>
          </w:p>
        </w:tc>
        <w:tc>
          <w:tcPr>
            <w:tcW w:type="dxa" w:w="5370"/>
          </w:tcPr>
          <w:p>
            <w:pPr>
              <w:spacing w:after="0"/>
              <w:jc w:val="left"/>
            </w:pPr>
            <w:r/>
            <w:r>
              <w:rPr>
                <w:rFonts w:ascii="Calibri" w:hAnsi="Calibri"/>
                <w:b w:val="0"/>
                <w:color w:val="1A1A1A"/>
                <w:sz w:val="24"/>
              </w:rPr>
              <w:t>22 Guia de Implantação, depois 09 Checklist e 21 Cartões.</w:t>
            </w:r>
          </w:p>
        </w:tc>
      </w:tr>
      <w:tr>
        <w:trPr>
          <w:cantSplit/>
        </w:trPr>
        <w:tc>
          <w:tcPr>
            <w:tcW w:type="dxa" w:w="3702"/>
            <w:shd w:val="clear" w:color="auto" w:fill="F2F5F8"/>
          </w:tcPr>
          <w:p>
            <w:pPr>
              <w:spacing w:after="0"/>
              <w:jc w:val="left"/>
            </w:pPr>
            <w:r/>
            <w:r>
              <w:rPr>
                <w:rFonts w:ascii="Calibri" w:hAnsi="Calibri"/>
                <w:b w:val="0"/>
                <w:color w:val="1A1A1A"/>
                <w:sz w:val="24"/>
              </w:rPr>
              <w:t>Atender e precisar de conduta imediata</w:t>
            </w:r>
          </w:p>
        </w:tc>
        <w:tc>
          <w:tcPr>
            <w:tcW w:type="dxa" w:w="5370"/>
            <w:shd w:val="clear" w:color="auto" w:fill="F2F5F8"/>
          </w:tcPr>
          <w:p>
            <w:pPr>
              <w:spacing w:after="0"/>
              <w:jc w:val="left"/>
            </w:pPr>
            <w:r/>
            <w:r>
              <w:rPr>
                <w:rFonts w:ascii="Calibri" w:hAnsi="Calibri"/>
                <w:b w:val="0"/>
                <w:color w:val="1A1A1A"/>
                <w:sz w:val="24"/>
              </w:rPr>
              <w:t>21 Cartões, 07 Fluxograma e 08 Guia de Diagnóstico Precoce.</w:t>
            </w:r>
          </w:p>
        </w:tc>
      </w:tr>
      <w:tr>
        <w:trPr>
          <w:cantSplit/>
        </w:trPr>
        <w:tc>
          <w:tcPr>
            <w:tcW w:type="dxa" w:w="3702"/>
          </w:tcPr>
          <w:p>
            <w:pPr>
              <w:spacing w:after="0"/>
              <w:jc w:val="left"/>
            </w:pPr>
            <w:r/>
            <w:r>
              <w:rPr>
                <w:rFonts w:ascii="Calibri" w:hAnsi="Calibri"/>
                <w:b w:val="0"/>
                <w:color w:val="1A1A1A"/>
                <w:sz w:val="24"/>
              </w:rPr>
              <w:t>Aprovar POPs no serviço</w:t>
            </w:r>
          </w:p>
        </w:tc>
        <w:tc>
          <w:tcPr>
            <w:tcW w:type="dxa" w:w="5370"/>
          </w:tcPr>
          <w:p>
            <w:pPr>
              <w:spacing w:after="0"/>
              <w:jc w:val="left"/>
            </w:pPr>
            <w:r/>
            <w:r>
              <w:rPr>
                <w:rFonts w:ascii="Calibri" w:hAnsi="Calibri"/>
                <w:b w:val="0"/>
                <w:color w:val="1A1A1A"/>
                <w:sz w:val="24"/>
              </w:rPr>
              <w:t>05 Modelo Mestre e o POP específico, na pasta POPs.</w:t>
            </w:r>
          </w:p>
        </w:tc>
      </w:tr>
      <w:tr>
        <w:trPr>
          <w:cantSplit/>
        </w:trPr>
        <w:tc>
          <w:tcPr>
            <w:tcW w:type="dxa" w:w="3702"/>
            <w:shd w:val="clear" w:color="auto" w:fill="F2F5F8"/>
          </w:tcPr>
          <w:p>
            <w:pPr>
              <w:spacing w:after="0"/>
              <w:jc w:val="left"/>
            </w:pPr>
            <w:r/>
            <w:r>
              <w:rPr>
                <w:rFonts w:ascii="Calibri" w:hAnsi="Calibri"/>
                <w:b w:val="0"/>
                <w:color w:val="1A1A1A"/>
                <w:sz w:val="24"/>
              </w:rPr>
              <w:t>Deliberar em reunião do Núcleo</w:t>
            </w:r>
          </w:p>
        </w:tc>
        <w:tc>
          <w:tcPr>
            <w:tcW w:type="dxa" w:w="5370"/>
            <w:shd w:val="clear" w:color="auto" w:fill="F2F5F8"/>
          </w:tcPr>
          <w:p>
            <w:pPr>
              <w:spacing w:after="0"/>
              <w:jc w:val="left"/>
            </w:pPr>
            <w:r/>
            <w:r>
              <w:rPr>
                <w:rFonts w:ascii="Calibri" w:hAnsi="Calibri"/>
                <w:b w:val="0"/>
                <w:color w:val="1A1A1A"/>
                <w:sz w:val="24"/>
              </w:rPr>
              <w:t>14 Quadro de Deliberação, com o 00 Índice ao lado.</w:t>
            </w:r>
          </w:p>
        </w:tc>
      </w:tr>
      <w:tr>
        <w:trPr>
          <w:cantSplit/>
        </w:trPr>
        <w:tc>
          <w:tcPr>
            <w:tcW w:type="dxa" w:w="3702"/>
          </w:tcPr>
          <w:p>
            <w:pPr>
              <w:spacing w:after="0"/>
              <w:jc w:val="left"/>
            </w:pPr>
            <w:r/>
            <w:r>
              <w:rPr>
                <w:rFonts w:ascii="Calibri" w:hAnsi="Calibri"/>
                <w:b w:val="0"/>
                <w:color w:val="1A1A1A"/>
                <w:sz w:val="24"/>
              </w:rPr>
              <w:t>Encaminhar o conjunto à Diretoria</w:t>
            </w:r>
          </w:p>
        </w:tc>
        <w:tc>
          <w:tcPr>
            <w:tcW w:type="dxa" w:w="5370"/>
          </w:tcPr>
          <w:p>
            <w:pPr>
              <w:spacing w:after="0"/>
              <w:jc w:val="left"/>
            </w:pPr>
            <w:r/>
            <w:r>
              <w:rPr>
                <w:rFonts w:ascii="Calibri" w:hAnsi="Calibri"/>
                <w:b w:val="0"/>
                <w:color w:val="1A1A1A"/>
                <w:sz w:val="24"/>
              </w:rPr>
              <w:t>25 Dossiê de Submissão e 13 Auditoria Técnica.</w:t>
            </w:r>
          </w:p>
        </w:tc>
      </w:tr>
      <w:tr>
        <w:trPr>
          <w:cantSplit/>
        </w:trPr>
        <w:tc>
          <w:tcPr>
            <w:tcW w:type="dxa" w:w="3702"/>
            <w:shd w:val="clear" w:color="auto" w:fill="F2F5F8"/>
          </w:tcPr>
          <w:p>
            <w:pPr>
              <w:spacing w:after="0"/>
              <w:jc w:val="left"/>
            </w:pPr>
            <w:r/>
            <w:r>
              <w:rPr>
                <w:rFonts w:ascii="Calibri" w:hAnsi="Calibri"/>
                <w:b w:val="0"/>
                <w:color w:val="1A1A1A"/>
                <w:sz w:val="24"/>
              </w:rPr>
              <w:t>Revisar juridicamente</w:t>
            </w:r>
          </w:p>
        </w:tc>
        <w:tc>
          <w:tcPr>
            <w:tcW w:type="dxa" w:w="5370"/>
            <w:shd w:val="clear" w:color="auto" w:fill="F2F5F8"/>
          </w:tcPr>
          <w:p>
            <w:pPr>
              <w:spacing w:after="0"/>
              <w:jc w:val="left"/>
            </w:pPr>
            <w:r/>
            <w:r>
              <w:rPr>
                <w:rFonts w:ascii="Calibri" w:hAnsi="Calibri"/>
                <w:b w:val="0"/>
                <w:color w:val="1A1A1A"/>
                <w:sz w:val="24"/>
              </w:rPr>
              <w:t>18 Termos, 02 Mapa Normativo e 28 Comunicado.</w:t>
            </w:r>
          </w:p>
        </w:tc>
      </w:tr>
      <w:tr>
        <w:trPr>
          <w:cantSplit/>
        </w:trPr>
        <w:tc>
          <w:tcPr>
            <w:tcW w:type="dxa" w:w="3702"/>
          </w:tcPr>
          <w:p>
            <w:pPr>
              <w:spacing w:after="0"/>
              <w:jc w:val="left"/>
            </w:pPr>
            <w:r/>
            <w:r>
              <w:rPr>
                <w:rFonts w:ascii="Calibri" w:hAnsi="Calibri"/>
                <w:b w:val="0"/>
                <w:color w:val="1A1A1A"/>
                <w:sz w:val="24"/>
              </w:rPr>
              <w:t>Produzir comunicação</w:t>
            </w:r>
          </w:p>
        </w:tc>
        <w:tc>
          <w:tcPr>
            <w:tcW w:type="dxa" w:w="5370"/>
          </w:tcPr>
          <w:p>
            <w:pPr>
              <w:spacing w:after="0"/>
              <w:jc w:val="left"/>
            </w:pPr>
            <w:r/>
            <w:r>
              <w:rPr>
                <w:rFonts w:ascii="Calibri" w:hAnsi="Calibri"/>
                <w:b w:val="0"/>
                <w:color w:val="1A1A1A"/>
                <w:sz w:val="24"/>
              </w:rPr>
              <w:t>15 Plano de Conteúdo e 31 Carrossel, com os arquivos em ANEXOS_MIDIA.</w:t>
            </w:r>
          </w:p>
        </w:tc>
      </w:tr>
      <w:tr>
        <w:trPr>
          <w:cantSplit/>
        </w:trPr>
        <w:tc>
          <w:tcPr>
            <w:tcW w:type="dxa" w:w="3702"/>
            <w:shd w:val="clear" w:color="auto" w:fill="F2F5F8"/>
          </w:tcPr>
          <w:p>
            <w:pPr>
              <w:spacing w:after="0"/>
              <w:jc w:val="left"/>
            </w:pPr>
            <w:r/>
            <w:r>
              <w:rPr>
                <w:rFonts w:ascii="Calibri" w:hAnsi="Calibri"/>
                <w:b w:val="0"/>
                <w:color w:val="1A1A1A"/>
                <w:sz w:val="24"/>
              </w:rPr>
              <w:t>Avaliar uma tecnologia</w:t>
            </w:r>
          </w:p>
        </w:tc>
        <w:tc>
          <w:tcPr>
            <w:tcW w:type="dxa" w:w="5370"/>
            <w:shd w:val="clear" w:color="auto" w:fill="F2F5F8"/>
          </w:tcPr>
          <w:p>
            <w:pPr>
              <w:spacing w:after="0"/>
              <w:jc w:val="left"/>
            </w:pPr>
            <w:r/>
            <w:r>
              <w:rPr>
                <w:rFonts w:ascii="Calibri" w:hAnsi="Calibri"/>
                <w:b w:val="0"/>
                <w:color w:val="1A1A1A"/>
                <w:sz w:val="24"/>
              </w:rPr>
              <w:t>06 Matriz de Avaliação e 10 Manual de Boas Práticas.</w:t>
            </w:r>
          </w:p>
        </w:tc>
      </w:tr>
    </w:tbl>
    <w:p>
      <w:pPr>
        <w:keepNext/>
        <w:spacing w:before="240" w:after="80"/>
        <w:jc w:val="left"/>
      </w:pPr>
      <w:r>
        <w:rPr>
          <w:rFonts w:ascii="Calibri" w:hAnsi="Calibri"/>
          <w:b/>
          <w:color w:val="143C64"/>
          <w:sz w:val="26"/>
        </w:rPr>
        <w:t>8.1  Distribuição aos integrantes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92"/>
        <w:gridCol w:w="3075"/>
        <w:gridCol w:w="3406"/>
      </w:tblGrid>
      <w:tr>
        <w:trPr>
          <w:cantSplit/>
          <w:tblHeader/>
        </w:trPr>
        <w:tc>
          <w:tcPr>
            <w:tcW w:type="dxa" w:w="2592"/>
            <w:shd w:val="clear" w:color="auto" w:fill="143C64"/>
          </w:tcPr>
          <w:p>
            <w:pPr>
              <w:spacing w:after="0"/>
              <w:jc w:val="left"/>
            </w:pPr>
            <w:r/>
            <w:r>
              <w:rPr>
                <w:rFonts w:ascii="Calibri" w:hAnsi="Calibri"/>
                <w:b/>
                <w:color w:val="FFFFFF"/>
                <w:sz w:val="24"/>
              </w:rPr>
              <w:t>Forma</w:t>
            </w:r>
          </w:p>
        </w:tc>
        <w:tc>
          <w:tcPr>
            <w:tcW w:type="dxa" w:w="3075"/>
            <w:shd w:val="clear" w:color="auto" w:fill="143C64"/>
          </w:tcPr>
          <w:p>
            <w:pPr>
              <w:spacing w:after="0"/>
              <w:jc w:val="left"/>
            </w:pPr>
            <w:r/>
            <w:r>
              <w:rPr>
                <w:rFonts w:ascii="Calibri" w:hAnsi="Calibri"/>
                <w:b/>
                <w:color w:val="FFFFFF"/>
                <w:sz w:val="24"/>
              </w:rPr>
              <w:t>Como funciona</w:t>
            </w:r>
          </w:p>
        </w:tc>
        <w:tc>
          <w:tcPr>
            <w:tcW w:type="dxa" w:w="3406"/>
            <w:shd w:val="clear" w:color="auto" w:fill="143C64"/>
          </w:tcPr>
          <w:p>
            <w:pPr>
              <w:spacing w:after="0"/>
              <w:jc w:val="left"/>
            </w:pPr>
            <w:r/>
            <w:r>
              <w:rPr>
                <w:rFonts w:ascii="Calibri" w:hAnsi="Calibri"/>
                <w:b/>
                <w:color w:val="FFFFFF"/>
                <w:sz w:val="24"/>
              </w:rPr>
              <w:t>Ressalva</w:t>
            </w:r>
          </w:p>
        </w:tc>
      </w:tr>
      <w:tr>
        <w:trPr>
          <w:cantSplit/>
        </w:trPr>
        <w:tc>
          <w:tcPr>
            <w:tcW w:type="dxa" w:w="2592"/>
          </w:tcPr>
          <w:p>
            <w:pPr>
              <w:spacing w:after="0"/>
              <w:jc w:val="left"/>
            </w:pPr>
            <w:r/>
            <w:r>
              <w:rPr>
                <w:rFonts w:ascii="Calibri" w:hAnsi="Calibri"/>
                <w:b/>
                <w:color w:val="1A1A1A"/>
                <w:sz w:val="24"/>
              </w:rPr>
              <w:t>Arquivo compactado</w:t>
            </w:r>
          </w:p>
        </w:tc>
        <w:tc>
          <w:tcPr>
            <w:tcW w:type="dxa" w:w="3075"/>
          </w:tcPr>
          <w:p>
            <w:pPr>
              <w:spacing w:after="0"/>
              <w:jc w:val="left"/>
            </w:pPr>
            <w:r/>
            <w:r>
              <w:rPr>
                <w:rFonts w:ascii="Calibri" w:hAnsi="Calibri"/>
                <w:b w:val="0"/>
                <w:color w:val="1A1A1A"/>
                <w:sz w:val="24"/>
              </w:rPr>
              <w:t>Enviar o pacote comprimido. Cada integrante descompacta e abre a biblioteca digital com dois cliques.</w:t>
            </w:r>
          </w:p>
        </w:tc>
        <w:tc>
          <w:tcPr>
            <w:tcW w:type="dxa" w:w="3406"/>
          </w:tcPr>
          <w:p>
            <w:pPr>
              <w:spacing w:after="0"/>
              <w:jc w:val="left"/>
            </w:pPr>
            <w:r/>
            <w:r>
              <w:rPr>
                <w:rFonts w:ascii="Calibri" w:hAnsi="Calibri"/>
                <w:b w:val="0"/>
                <w:color w:val="1A1A1A"/>
                <w:sz w:val="24"/>
              </w:rPr>
              <w:t>É a única forma em que a biblioteca digital funciona por completo, porque ela depende de os arquivos estarem na mesma pasta.</w:t>
            </w:r>
          </w:p>
        </w:tc>
      </w:tr>
      <w:tr>
        <w:trPr>
          <w:cantSplit/>
        </w:trPr>
        <w:tc>
          <w:tcPr>
            <w:tcW w:type="dxa" w:w="2592"/>
            <w:shd w:val="clear" w:color="auto" w:fill="F2F5F8"/>
          </w:tcPr>
          <w:p>
            <w:pPr>
              <w:spacing w:after="0"/>
              <w:jc w:val="left"/>
            </w:pPr>
            <w:r/>
            <w:r>
              <w:rPr>
                <w:rFonts w:ascii="Calibri" w:hAnsi="Calibri"/>
                <w:b/>
                <w:color w:val="1A1A1A"/>
                <w:sz w:val="24"/>
              </w:rPr>
              <w:t>Pasta compartilhada em nuvem</w:t>
            </w:r>
          </w:p>
        </w:tc>
        <w:tc>
          <w:tcPr>
            <w:tcW w:type="dxa" w:w="3075"/>
            <w:shd w:val="clear" w:color="auto" w:fill="F2F5F8"/>
          </w:tcPr>
          <w:p>
            <w:pPr>
              <w:spacing w:after="0"/>
              <w:jc w:val="left"/>
            </w:pPr>
            <w:r/>
            <w:r>
              <w:rPr>
                <w:rFonts w:ascii="Calibri" w:hAnsi="Calibri"/>
                <w:b w:val="0"/>
                <w:color w:val="1A1A1A"/>
                <w:sz w:val="24"/>
              </w:rPr>
              <w:t>Subir a estrutura para a unidade compartilhada do Conselho, preservando os nomes.</w:t>
            </w:r>
          </w:p>
        </w:tc>
        <w:tc>
          <w:tcPr>
            <w:tcW w:type="dxa" w:w="3406"/>
            <w:shd w:val="clear" w:color="auto" w:fill="F2F5F8"/>
          </w:tcPr>
          <w:p>
            <w:pPr>
              <w:spacing w:after="0"/>
              <w:jc w:val="left"/>
            </w:pPr>
            <w:r/>
            <w:r>
              <w:rPr>
                <w:rFonts w:ascii="Calibri" w:hAnsi="Calibri"/>
                <w:b w:val="0"/>
                <w:color w:val="1A1A1A"/>
                <w:sz w:val="24"/>
              </w:rPr>
              <w:t>A biblioteca digital não abre pela pré-visualização da nuvem. Para usá-la é preciso baixar a pasta. Os documentos, isolados, abrem normalmente.</w:t>
            </w:r>
          </w:p>
        </w:tc>
      </w:tr>
      <w:tr>
        <w:trPr>
          <w:cantSplit/>
        </w:trPr>
        <w:tc>
          <w:tcPr>
            <w:tcW w:type="dxa" w:w="2592"/>
          </w:tcPr>
          <w:p>
            <w:pPr>
              <w:spacing w:after="0"/>
              <w:jc w:val="left"/>
            </w:pPr>
            <w:r/>
            <w:r>
              <w:rPr>
                <w:rFonts w:ascii="Calibri" w:hAnsi="Calibri"/>
                <w:b/>
                <w:color w:val="1A1A1A"/>
                <w:sz w:val="24"/>
              </w:rPr>
              <w:t>Apenas os PDFs</w:t>
            </w:r>
          </w:p>
        </w:tc>
        <w:tc>
          <w:tcPr>
            <w:tcW w:type="dxa" w:w="3075"/>
          </w:tcPr>
          <w:p>
            <w:pPr>
              <w:spacing w:after="0"/>
              <w:jc w:val="left"/>
            </w:pPr>
            <w:r/>
            <w:r>
              <w:rPr>
                <w:rFonts w:ascii="Calibri" w:hAnsi="Calibri"/>
                <w:b w:val="0"/>
                <w:color w:val="1A1A1A"/>
                <w:sz w:val="24"/>
              </w:rPr>
              <w:t>Distribuir somente os arquivos PDF, para leitura.</w:t>
            </w:r>
          </w:p>
        </w:tc>
        <w:tc>
          <w:tcPr>
            <w:tcW w:type="dxa" w:w="3406"/>
          </w:tcPr>
          <w:p>
            <w:pPr>
              <w:spacing w:after="0"/>
              <w:jc w:val="left"/>
            </w:pPr>
            <w:r/>
            <w:r>
              <w:rPr>
                <w:rFonts w:ascii="Calibri" w:hAnsi="Calibri"/>
                <w:b w:val="0"/>
                <w:color w:val="1A1A1A"/>
                <w:sz w:val="24"/>
              </w:rPr>
              <w:t>Perde-se a edição e a biblioteca digital. Serve para circulação ampla, não para trabalho.</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Recomendação</w:t>
            </w:r>
          </w:p>
          <w:p>
            <w:pPr>
              <w:spacing w:after="0"/>
              <w:jc w:val="both"/>
            </w:pPr>
            <w:r>
              <w:rPr>
                <w:rFonts w:ascii="Calibri" w:hAnsi="Calibri"/>
                <w:color w:val="1A1A1A"/>
                <w:sz w:val="24"/>
              </w:rPr>
              <w:t>Para os integrantes da Câmara Técnica, distribuir o arquivo compactado completo. Para circulação além do colegiado, distribuir apenas os PDFs dos documentos já validados pela Diretoria Executiva, preservando em cada um a rotulagem de situação.</w:t>
            </w:r>
          </w:p>
        </w:tc>
      </w:tr>
    </w:tbl>
    <w:p>
      <w:pPr>
        <w:spacing w:after="80"/>
      </w:pPr>
    </w:p>
    <w:p>
      <w:pPr>
        <w:keepNext/>
        <w:spacing w:before="360" w:after="160"/>
        <w:jc w:val="left"/>
        <w:pBdr>
          <w:bottom w:val="single" w:sz="8" w:space="4" w:color="143C64"/>
        </w:pBdr>
      </w:pPr>
      <w:r>
        <w:rPr>
          <w:rFonts w:ascii="Calibri" w:hAnsi="Calibri"/>
          <w:b/>
          <w:color w:val="143C64"/>
          <w:sz w:val="30"/>
        </w:rPr>
        <w:t>9  Padrões que regem a produção</w:t>
      </w:r>
    </w:p>
    <w:p>
      <w:pPr>
        <w:pStyle w:val="ListBullet"/>
        <w:spacing w:after="60"/>
        <w:ind w:left="397"/>
        <w:jc w:val="both"/>
      </w:pPr>
      <w:r>
        <w:rPr>
          <w:rFonts w:ascii="Calibri" w:hAnsi="Calibri"/>
          <w:color w:val="1A1A1A"/>
          <w:sz w:val="24"/>
        </w:rPr>
        <w:t>Nenhum documento circula externamente antes da validação da Diretoria Executiva.</w:t>
      </w:r>
    </w:p>
    <w:p>
      <w:pPr>
        <w:pStyle w:val="ListBullet"/>
        <w:spacing w:after="60"/>
        <w:ind w:left="397"/>
        <w:jc w:val="both"/>
      </w:pPr>
      <w:r>
        <w:rPr>
          <w:rFonts w:ascii="Calibri" w:hAnsi="Calibri"/>
          <w:color w:val="1A1A1A"/>
          <w:sz w:val="24"/>
        </w:rPr>
        <w:t>Toda afirmação relevante é classificada em uma das quatro categorias da legenda de sustentação.</w:t>
      </w:r>
    </w:p>
    <w:p>
      <w:pPr>
        <w:pStyle w:val="ListBullet"/>
        <w:spacing w:after="60"/>
        <w:ind w:left="397"/>
        <w:jc w:val="both"/>
      </w:pPr>
      <w:r>
        <w:rPr>
          <w:rFonts w:ascii="Calibri" w:hAnsi="Calibri"/>
          <w:color w:val="1A1A1A"/>
          <w:sz w:val="24"/>
        </w:rPr>
        <w:t>Toda citação normativa traz número, data e data da consulta.</w:t>
      </w:r>
    </w:p>
    <w:p>
      <w:pPr>
        <w:pStyle w:val="ListBullet"/>
        <w:spacing w:after="60"/>
        <w:ind w:left="397"/>
        <w:jc w:val="both"/>
      </w:pPr>
      <w:r>
        <w:rPr>
          <w:rFonts w:ascii="Calibri" w:hAnsi="Calibri"/>
          <w:color w:val="1A1A1A"/>
          <w:sz w:val="24"/>
        </w:rPr>
        <w:t>Toda referência científica é verificada individualmente antes de entrar no pacote.</w:t>
      </w:r>
    </w:p>
    <w:p>
      <w:pPr>
        <w:pStyle w:val="ListBullet"/>
        <w:spacing w:after="60"/>
        <w:ind w:left="397"/>
        <w:jc w:val="both"/>
      </w:pPr>
      <w:r>
        <w:rPr>
          <w:rFonts w:ascii="Calibri" w:hAnsi="Calibri"/>
          <w:color w:val="1A1A1A"/>
          <w:sz w:val="24"/>
        </w:rPr>
        <w:t>Lacuna aparece como lacuna. Ausência de dado não vira afirmação de segurança.</w:t>
      </w:r>
    </w:p>
    <w:p>
      <w:pPr>
        <w:pStyle w:val="ListBullet"/>
        <w:spacing w:after="60"/>
        <w:ind w:left="397"/>
        <w:jc w:val="both"/>
      </w:pPr>
      <w:r>
        <w:rPr>
          <w:rFonts w:ascii="Calibri" w:hAnsi="Calibri"/>
          <w:color w:val="1A1A1A"/>
          <w:sz w:val="24"/>
        </w:rPr>
        <w:t>Todo documento é gerado pelo mesmo módulo de estilo, o que mantém corpo e células de tabela em no mínimo 12pt, texto justificado, cabeçalhos em linha única e ausência de travessões.</w:t>
      </w:r>
    </w:p>
    <w:p>
      <w:pPr>
        <w:pStyle w:val="ListBullet"/>
        <w:spacing w:after="60"/>
        <w:ind w:left="397"/>
        <w:jc w:val="both"/>
      </w:pPr>
      <w:r>
        <w:rPr>
          <w:rFonts w:ascii="Calibri" w:hAnsi="Calibri"/>
          <w:color w:val="1A1A1A"/>
          <w:sz w:val="24"/>
        </w:rPr>
        <w:t>Contribuição de integrante é tratada por parecer registrado, com crédito nominal.</w:t>
      </w:r>
    </w:p>
    <w:p>
      <w:pPr>
        <w:pStyle w:val="ListBullet"/>
        <w:spacing w:after="60"/>
        <w:ind w:left="397"/>
        <w:jc w:val="both"/>
      </w:pPr>
      <w:r>
        <w:rPr>
          <w:rFonts w:ascii="Calibri" w:hAnsi="Calibri"/>
          <w:color w:val="1A1A1A"/>
          <w:sz w:val="24"/>
        </w:rPr>
        <w:t>Conflito de interesse é declarado por entrega, inclusive quando negativo.</w:t>
      </w:r>
    </w:p>
    <w:p>
      <w:pPr>
        <w:pStyle w:val="ListBullet"/>
        <w:spacing w:after="60"/>
        <w:ind w:left="397"/>
        <w:jc w:val="both"/>
      </w:pPr>
      <w:r>
        <w:rPr>
          <w:rFonts w:ascii="Calibri" w:hAnsi="Calibri"/>
          <w:color w:val="1A1A1A"/>
          <w:sz w:val="24"/>
        </w:rPr>
        <w:t>Nomenclatura de arquivo usa código, título descritivo, versão e data. Adjetivo não é versionamento.</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78"/>
        <w:gridCol w:w="3117"/>
        <w:gridCol w:w="3577"/>
      </w:tblGrid>
      <w:tr>
        <w:trPr>
          <w:cantSplit/>
          <w:tblHeader/>
        </w:trPr>
        <w:tc>
          <w:tcPr>
            <w:tcW w:type="dxa" w:w="2378"/>
            <w:shd w:val="clear" w:color="auto" w:fill="143C64"/>
          </w:tcPr>
          <w:p>
            <w:pPr>
              <w:spacing w:after="0"/>
              <w:jc w:val="left"/>
            </w:pPr>
            <w:r/>
            <w:r>
              <w:rPr>
                <w:rFonts w:ascii="Calibri" w:hAnsi="Calibri"/>
                <w:b/>
                <w:color w:val="FFFFFF"/>
                <w:sz w:val="24"/>
              </w:rPr>
              <w:t>Ato</w:t>
            </w:r>
          </w:p>
        </w:tc>
        <w:tc>
          <w:tcPr>
            <w:tcW w:type="dxa" w:w="3117"/>
            <w:shd w:val="clear" w:color="auto" w:fill="143C64"/>
          </w:tcPr>
          <w:p>
            <w:pPr>
              <w:spacing w:after="0"/>
              <w:jc w:val="left"/>
            </w:pPr>
            <w:r/>
            <w:r>
              <w:rPr>
                <w:rFonts w:ascii="Calibri" w:hAnsi="Calibri"/>
                <w:b/>
                <w:color w:val="FFFFFF"/>
                <w:sz w:val="24"/>
              </w:rPr>
              <w:t>Objeto</w:t>
            </w:r>
          </w:p>
        </w:tc>
        <w:tc>
          <w:tcPr>
            <w:tcW w:type="dxa" w:w="3577"/>
            <w:shd w:val="clear" w:color="auto" w:fill="143C64"/>
          </w:tcPr>
          <w:p>
            <w:pPr>
              <w:spacing w:after="0"/>
              <w:jc w:val="left"/>
            </w:pPr>
            <w:r/>
            <w:r>
              <w:rPr>
                <w:rFonts w:ascii="Calibri" w:hAnsi="Calibri"/>
                <w:b/>
                <w:color w:val="FFFFFF"/>
                <w:sz w:val="24"/>
              </w:rPr>
              <w:t>Incidência no pacote</w:t>
            </w:r>
          </w:p>
        </w:tc>
      </w:tr>
      <w:tr>
        <w:trPr>
          <w:cantSplit/>
        </w:trPr>
        <w:tc>
          <w:tcPr>
            <w:tcW w:type="dxa" w:w="2378"/>
          </w:tcPr>
          <w:p>
            <w:pPr>
              <w:spacing w:after="0"/>
              <w:jc w:val="left"/>
            </w:pPr>
            <w:r/>
            <w:r>
              <w:rPr>
                <w:rFonts w:ascii="Calibri" w:hAnsi="Calibri"/>
                <w:b w:val="0"/>
                <w:color w:val="1A1A1A"/>
                <w:sz w:val="24"/>
              </w:rPr>
              <w:t>Lei nº 5.081, de 24 de agosto de 1966</w:t>
            </w:r>
          </w:p>
        </w:tc>
        <w:tc>
          <w:tcPr>
            <w:tcW w:type="dxa" w:w="3117"/>
          </w:tcPr>
          <w:p>
            <w:pPr>
              <w:spacing w:after="0"/>
              <w:jc w:val="left"/>
            </w:pPr>
            <w:r/>
            <w:r>
              <w:rPr>
                <w:rFonts w:ascii="Calibri" w:hAnsi="Calibri"/>
                <w:b w:val="0"/>
                <w:color w:val="1A1A1A"/>
                <w:sz w:val="24"/>
              </w:rPr>
              <w:t>Regula o exercício da Odontologia no Brasil.</w:t>
            </w:r>
          </w:p>
        </w:tc>
        <w:tc>
          <w:tcPr>
            <w:tcW w:type="dxa" w:w="3577"/>
          </w:tcPr>
          <w:p>
            <w:pPr>
              <w:spacing w:after="0"/>
              <w:jc w:val="left"/>
            </w:pPr>
            <w:r/>
            <w:r>
              <w:rPr>
                <w:rFonts w:ascii="Calibri" w:hAnsi="Calibri"/>
                <w:b w:val="0"/>
                <w:color w:val="1A1A1A"/>
                <w:sz w:val="24"/>
              </w:rPr>
              <w:t>Base legal do exercício profissional.</w:t>
            </w:r>
          </w:p>
        </w:tc>
      </w:tr>
      <w:tr>
        <w:trPr>
          <w:cantSplit/>
        </w:trPr>
        <w:tc>
          <w:tcPr>
            <w:tcW w:type="dxa" w:w="2378"/>
            <w:shd w:val="clear" w:color="auto" w:fill="F2F5F8"/>
          </w:tcPr>
          <w:p>
            <w:pPr>
              <w:spacing w:after="0"/>
              <w:jc w:val="left"/>
            </w:pPr>
            <w:r/>
            <w:r>
              <w:rPr>
                <w:rFonts w:ascii="Calibri" w:hAnsi="Calibri"/>
                <w:b w:val="0"/>
                <w:color w:val="1A1A1A"/>
                <w:sz w:val="24"/>
              </w:rPr>
              <w:t>Resolução CFO nº 118/2012</w:t>
            </w:r>
          </w:p>
        </w:tc>
        <w:tc>
          <w:tcPr>
            <w:tcW w:type="dxa" w:w="3117"/>
            <w:shd w:val="clear" w:color="auto" w:fill="F2F5F8"/>
          </w:tcPr>
          <w:p>
            <w:pPr>
              <w:spacing w:after="0"/>
              <w:jc w:val="left"/>
            </w:pPr>
            <w:r/>
            <w:r>
              <w:rPr>
                <w:rFonts w:ascii="Calibri" w:hAnsi="Calibri"/>
                <w:b w:val="0"/>
                <w:color w:val="1A1A1A"/>
                <w:sz w:val="24"/>
              </w:rPr>
              <w:t>Código de Ética Odontológica.</w:t>
            </w:r>
          </w:p>
        </w:tc>
        <w:tc>
          <w:tcPr>
            <w:tcW w:type="dxa" w:w="3577"/>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378"/>
          </w:tcPr>
          <w:p>
            <w:pPr>
              <w:spacing w:after="0"/>
              <w:jc w:val="left"/>
            </w:pPr>
            <w:r/>
            <w:r>
              <w:rPr>
                <w:rFonts w:ascii="Calibri" w:hAnsi="Calibri"/>
                <w:b w:val="0"/>
                <w:color w:val="1A1A1A"/>
                <w:sz w:val="24"/>
              </w:rPr>
              <w:t>RDC Anvisa nº 1.002, de 15 de dezembro de 2025</w:t>
            </w:r>
          </w:p>
        </w:tc>
        <w:tc>
          <w:tcPr>
            <w:tcW w:type="dxa" w:w="3117"/>
          </w:tcPr>
          <w:p>
            <w:pPr>
              <w:spacing w:after="0"/>
              <w:jc w:val="left"/>
            </w:pPr>
            <w:r/>
            <w:r>
              <w:rPr>
                <w:rFonts w:ascii="Calibri" w:hAnsi="Calibri"/>
                <w:b w:val="0"/>
                <w:color w:val="1A1A1A"/>
                <w:sz w:val="24"/>
              </w:rPr>
              <w:t>Boas Práticas de Funcionamento para serviços que prestam assistência odontológica.</w:t>
            </w:r>
          </w:p>
        </w:tc>
        <w:tc>
          <w:tcPr>
            <w:tcW w:type="dxa" w:w="3577"/>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378"/>
            <w:shd w:val="clear" w:color="auto" w:fill="F2F5F8"/>
          </w:tcPr>
          <w:p>
            <w:pPr>
              <w:spacing w:after="0"/>
              <w:jc w:val="left"/>
            </w:pPr>
            <w:r/>
            <w:r>
              <w:rPr>
                <w:rFonts w:ascii="Calibri" w:hAnsi="Calibri"/>
                <w:b w:val="0"/>
                <w:color w:val="1A1A1A"/>
                <w:sz w:val="24"/>
              </w:rPr>
              <w:t>RDC Anvisa nº 63/2011</w:t>
            </w:r>
          </w:p>
        </w:tc>
        <w:tc>
          <w:tcPr>
            <w:tcW w:type="dxa" w:w="3117"/>
            <w:shd w:val="clear" w:color="auto" w:fill="F2F5F8"/>
          </w:tcPr>
          <w:p>
            <w:pPr>
              <w:spacing w:after="0"/>
              <w:jc w:val="left"/>
            </w:pPr>
            <w:r/>
            <w:r>
              <w:rPr>
                <w:rFonts w:ascii="Calibri" w:hAnsi="Calibri"/>
                <w:b w:val="0"/>
                <w:color w:val="1A1A1A"/>
                <w:sz w:val="24"/>
              </w:rPr>
              <w:t>Boas Práticas de Funcionamento para serviços de saúde.</w:t>
            </w:r>
          </w:p>
        </w:tc>
        <w:tc>
          <w:tcPr>
            <w:tcW w:type="dxa" w:w="3577"/>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378"/>
          </w:tcPr>
          <w:p>
            <w:pPr>
              <w:spacing w:after="0"/>
              <w:jc w:val="left"/>
            </w:pPr>
            <w:r/>
            <w:r>
              <w:rPr>
                <w:rFonts w:ascii="Calibri" w:hAnsi="Calibri"/>
                <w:b w:val="0"/>
                <w:color w:val="1A1A1A"/>
                <w:sz w:val="24"/>
              </w:rPr>
              <w:t>RDC Anvisa nº 509/2021</w:t>
            </w:r>
          </w:p>
        </w:tc>
        <w:tc>
          <w:tcPr>
            <w:tcW w:type="dxa" w:w="3117"/>
          </w:tcPr>
          <w:p>
            <w:pPr>
              <w:spacing w:after="0"/>
              <w:jc w:val="left"/>
            </w:pPr>
            <w:r/>
            <w:r>
              <w:rPr>
                <w:rFonts w:ascii="Calibri" w:hAnsi="Calibri"/>
                <w:b w:val="0"/>
                <w:color w:val="1A1A1A"/>
                <w:sz w:val="24"/>
              </w:rPr>
              <w:t>Gerenciamento de tecnologias em serviços de saúde.</w:t>
            </w:r>
          </w:p>
        </w:tc>
        <w:tc>
          <w:tcPr>
            <w:tcW w:type="dxa" w:w="3577"/>
          </w:tcPr>
          <w:p>
            <w:pPr>
              <w:spacing w:after="0"/>
              <w:jc w:val="left"/>
            </w:pPr>
            <w:r/>
            <w:r>
              <w:rPr>
                <w:rFonts w:ascii="Calibri" w:hAnsi="Calibri"/>
                <w:b w:val="0"/>
                <w:color w:val="1A1A1A"/>
                <w:sz w:val="24"/>
              </w:rPr>
              <w:t>Plano de gerenciamento, rastreabilidade, guarda e monitoramento.</w:t>
            </w:r>
          </w:p>
        </w:tc>
      </w:tr>
      <w:tr>
        <w:trPr>
          <w:cantSplit/>
        </w:trPr>
        <w:tc>
          <w:tcPr>
            <w:tcW w:type="dxa" w:w="2378"/>
            <w:shd w:val="clear" w:color="auto" w:fill="F2F5F8"/>
          </w:tcPr>
          <w:p>
            <w:pPr>
              <w:spacing w:after="0"/>
              <w:jc w:val="left"/>
            </w:pPr>
            <w:r/>
            <w:r>
              <w:rPr>
                <w:rFonts w:ascii="Calibri" w:hAnsi="Calibri"/>
                <w:b w:val="0"/>
                <w:color w:val="1A1A1A"/>
                <w:sz w:val="24"/>
              </w:rPr>
              <w:t>RDC Anvisa nº 751/2022</w:t>
            </w:r>
          </w:p>
        </w:tc>
        <w:tc>
          <w:tcPr>
            <w:tcW w:type="dxa" w:w="3117"/>
            <w:shd w:val="clear" w:color="auto" w:fill="F2F5F8"/>
          </w:tcPr>
          <w:p>
            <w:pPr>
              <w:spacing w:after="0"/>
              <w:jc w:val="left"/>
            </w:pPr>
            <w:r/>
            <w:r>
              <w:rPr>
                <w:rFonts w:ascii="Calibri" w:hAnsi="Calibri"/>
                <w:b w:val="0"/>
                <w:color w:val="1A1A1A"/>
                <w:sz w:val="24"/>
              </w:rPr>
              <w:t>Dispositivos médicos: classificação e regularização.</w:t>
            </w:r>
          </w:p>
        </w:tc>
        <w:tc>
          <w:tcPr>
            <w:tcW w:type="dxa" w:w="3577"/>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378"/>
          </w:tcPr>
          <w:p>
            <w:pPr>
              <w:spacing w:after="0"/>
              <w:jc w:val="left"/>
            </w:pPr>
            <w:r/>
            <w:r>
              <w:rPr>
                <w:rFonts w:ascii="Calibri" w:hAnsi="Calibri"/>
                <w:b w:val="0"/>
                <w:color w:val="1A1A1A"/>
                <w:sz w:val="24"/>
              </w:rPr>
              <w:t>RDC Anvisa nº 549/2021</w:t>
            </w:r>
          </w:p>
        </w:tc>
        <w:tc>
          <w:tcPr>
            <w:tcW w:type="dxa" w:w="3117"/>
          </w:tcPr>
          <w:p>
            <w:pPr>
              <w:spacing w:after="0"/>
              <w:jc w:val="left"/>
            </w:pPr>
            <w:r/>
            <w:r>
              <w:rPr>
                <w:rFonts w:ascii="Calibri" w:hAnsi="Calibri"/>
                <w:b w:val="0"/>
                <w:color w:val="1A1A1A"/>
                <w:sz w:val="24"/>
              </w:rPr>
              <w:t>Certificação de conformidade de equipamentos sob regime aplicável.</w:t>
            </w:r>
          </w:p>
        </w:tc>
        <w:tc>
          <w:tcPr>
            <w:tcW w:type="dxa" w:w="3577"/>
          </w:tcPr>
          <w:p>
            <w:pPr>
              <w:spacing w:after="0"/>
              <w:jc w:val="left"/>
            </w:pPr>
            <w:r/>
            <w:r>
              <w:rPr>
                <w:rFonts w:ascii="Calibri" w:hAnsi="Calibri"/>
                <w:b w:val="0"/>
                <w:color w:val="1A1A1A"/>
                <w:sz w:val="24"/>
              </w:rPr>
              <w:t>Conformidade de equipamentos eletromédicos.</w:t>
            </w:r>
          </w:p>
        </w:tc>
      </w:tr>
      <w:tr>
        <w:trPr>
          <w:cantSplit/>
        </w:trPr>
        <w:tc>
          <w:tcPr>
            <w:tcW w:type="dxa" w:w="2378"/>
            <w:shd w:val="clear" w:color="auto" w:fill="F2F5F8"/>
          </w:tcPr>
          <w:p>
            <w:pPr>
              <w:spacing w:after="0"/>
              <w:jc w:val="left"/>
            </w:pPr>
            <w:r/>
            <w:r>
              <w:rPr>
                <w:rFonts w:ascii="Calibri" w:hAnsi="Calibri"/>
                <w:b w:val="0"/>
                <w:color w:val="1A1A1A"/>
                <w:sz w:val="24"/>
              </w:rPr>
              <w:t>Lei nº 13.709/2018</w:t>
            </w:r>
          </w:p>
        </w:tc>
        <w:tc>
          <w:tcPr>
            <w:tcW w:type="dxa" w:w="3117"/>
            <w:shd w:val="clear" w:color="auto" w:fill="F2F5F8"/>
          </w:tcPr>
          <w:p>
            <w:pPr>
              <w:spacing w:after="0"/>
              <w:jc w:val="left"/>
            </w:pPr>
            <w:r/>
            <w:r>
              <w:rPr>
                <w:rFonts w:ascii="Calibri" w:hAnsi="Calibri"/>
                <w:b w:val="0"/>
                <w:color w:val="1A1A1A"/>
                <w:sz w:val="24"/>
              </w:rPr>
              <w:t>Lei Geral de Proteção de Dados Pessoais.</w:t>
            </w:r>
          </w:p>
        </w:tc>
        <w:tc>
          <w:tcPr>
            <w:tcW w:type="dxa" w:w="3577"/>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378"/>
          </w:tcPr>
          <w:p>
            <w:pPr>
              <w:spacing w:after="0"/>
              <w:jc w:val="left"/>
            </w:pPr>
            <w:r/>
            <w:r>
              <w:rPr>
                <w:rFonts w:ascii="Calibri" w:hAnsi="Calibri"/>
                <w:b w:val="0"/>
                <w:color w:val="1A1A1A"/>
                <w:sz w:val="24"/>
              </w:rPr>
              <w:t>Lei nº 15.378, de 6 de abril de 2026</w:t>
            </w:r>
          </w:p>
        </w:tc>
        <w:tc>
          <w:tcPr>
            <w:tcW w:type="dxa" w:w="3117"/>
          </w:tcPr>
          <w:p>
            <w:pPr>
              <w:spacing w:after="0"/>
              <w:jc w:val="left"/>
            </w:pPr>
            <w:r/>
            <w:r>
              <w:rPr>
                <w:rFonts w:ascii="Calibri" w:hAnsi="Calibri"/>
                <w:b w:val="0"/>
                <w:color w:val="1A1A1A"/>
                <w:sz w:val="24"/>
              </w:rPr>
              <w:t>Institui o Estatuto dos Direitos do Paciente.</w:t>
            </w:r>
          </w:p>
        </w:tc>
        <w:tc>
          <w:tcPr>
            <w:tcW w:type="dxa" w:w="3577"/>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378"/>
            <w:shd w:val="clear" w:color="auto" w:fill="F2F5F8"/>
          </w:tcPr>
          <w:p>
            <w:pPr>
              <w:spacing w:after="0"/>
              <w:jc w:val="left"/>
            </w:pPr>
            <w:r/>
            <w:r>
              <w:rPr>
                <w:rFonts w:ascii="Calibri" w:hAnsi="Calibri"/>
                <w:b w:val="0"/>
                <w:color w:val="1A1A1A"/>
                <w:sz w:val="24"/>
              </w:rPr>
              <w:t>Lei nº 12.842/2013</w:t>
            </w:r>
          </w:p>
        </w:tc>
        <w:tc>
          <w:tcPr>
            <w:tcW w:type="dxa" w:w="3117"/>
            <w:shd w:val="clear" w:color="auto" w:fill="F2F5F8"/>
          </w:tcPr>
          <w:p>
            <w:pPr>
              <w:spacing w:after="0"/>
              <w:jc w:val="left"/>
            </w:pPr>
            <w:r/>
            <w:r>
              <w:rPr>
                <w:rFonts w:ascii="Calibri" w:hAnsi="Calibri"/>
                <w:b w:val="0"/>
                <w:color w:val="1A1A1A"/>
                <w:sz w:val="24"/>
              </w:rPr>
              <w:t>Lei do Ato Médico.</w:t>
            </w:r>
          </w:p>
        </w:tc>
        <w:tc>
          <w:tcPr>
            <w:tcW w:type="dxa" w:w="3577"/>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378"/>
          </w:tcPr>
          <w:p>
            <w:pPr>
              <w:spacing w:after="0"/>
              <w:jc w:val="left"/>
            </w:pPr>
            <w:r/>
            <w:r>
              <w:rPr>
                <w:rFonts w:ascii="Calibri" w:hAnsi="Calibri"/>
                <w:b w:val="0"/>
                <w:color w:val="1A1A1A"/>
                <w:sz w:val="24"/>
              </w:rPr>
              <w:t>Portaria CRO-MG nº 190/2026</w:t>
            </w:r>
          </w:p>
        </w:tc>
        <w:tc>
          <w:tcPr>
            <w:tcW w:type="dxa" w:w="3117"/>
          </w:tcPr>
          <w:p>
            <w:pPr>
              <w:spacing w:after="0"/>
              <w:jc w:val="left"/>
            </w:pPr>
            <w:r/>
            <w:r>
              <w:rPr>
                <w:rFonts w:ascii="Calibri" w:hAnsi="Calibri"/>
                <w:b w:val="0"/>
                <w:color w:val="1A1A1A"/>
                <w:sz w:val="24"/>
              </w:rPr>
              <w:t>Constitui a Câmara Técnica de HOF e seus Núcleos.</w:t>
            </w:r>
          </w:p>
        </w:tc>
        <w:tc>
          <w:tcPr>
            <w:tcW w:type="dxa" w:w="3577"/>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45"/>
        <w:gridCol w:w="2255"/>
        <w:gridCol w:w="3073"/>
      </w:tblGrid>
      <w:tr>
        <w:trPr>
          <w:cantSplit/>
          <w:tblHeader/>
        </w:trPr>
        <w:tc>
          <w:tcPr>
            <w:tcW w:type="dxa" w:w="3745"/>
            <w:shd w:val="clear" w:color="auto" w:fill="143C64"/>
          </w:tcPr>
          <w:p>
            <w:pPr>
              <w:spacing w:after="0"/>
              <w:jc w:val="left"/>
            </w:pPr>
            <w:r/>
            <w:r>
              <w:rPr>
                <w:rFonts w:ascii="Calibri" w:hAnsi="Calibri"/>
                <w:b/>
                <w:color w:val="FFFFFF"/>
                <w:sz w:val="24"/>
              </w:rPr>
              <w:t>Referência</w:t>
            </w:r>
          </w:p>
        </w:tc>
        <w:tc>
          <w:tcPr>
            <w:tcW w:type="dxa" w:w="2255"/>
            <w:shd w:val="clear" w:color="auto" w:fill="143C64"/>
          </w:tcPr>
          <w:p>
            <w:pPr>
              <w:spacing w:after="0"/>
              <w:jc w:val="left"/>
            </w:pPr>
            <w:r/>
            <w:r>
              <w:rPr>
                <w:rFonts w:ascii="Calibri" w:hAnsi="Calibri"/>
                <w:b/>
                <w:color w:val="FFFFFF"/>
                <w:sz w:val="24"/>
              </w:rPr>
              <w:t>Desenho</w:t>
            </w:r>
          </w:p>
        </w:tc>
        <w:tc>
          <w:tcPr>
            <w:tcW w:type="dxa" w:w="3073"/>
            <w:shd w:val="clear" w:color="auto" w:fill="143C64"/>
          </w:tcPr>
          <w:p>
            <w:pPr>
              <w:spacing w:after="0"/>
              <w:jc w:val="left"/>
            </w:pPr>
            <w:r/>
            <w:r>
              <w:rPr>
                <w:rFonts w:ascii="Calibri" w:hAnsi="Calibri"/>
                <w:b/>
                <w:color w:val="FFFFFF"/>
                <w:sz w:val="24"/>
              </w:rPr>
              <w:t>Identificadores e verificação</w:t>
            </w:r>
          </w:p>
        </w:tc>
      </w:tr>
      <w:tr>
        <w:trPr>
          <w:cantSplit/>
        </w:trPr>
        <w:tc>
          <w:tcPr>
            <w:tcW w:type="dxa" w:w="3745"/>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255"/>
          </w:tcPr>
          <w:p>
            <w:pPr>
              <w:spacing w:after="0"/>
              <w:jc w:val="left"/>
            </w:pPr>
            <w:r/>
            <w:r>
              <w:rPr>
                <w:rFonts w:ascii="Calibri" w:hAnsi="Calibri"/>
                <w:b w:val="0"/>
                <w:color w:val="1A1A1A"/>
                <w:sz w:val="24"/>
              </w:rPr>
              <w:t>Revisão sistemática</w:t>
            </w:r>
          </w:p>
        </w:tc>
        <w:tc>
          <w:tcPr>
            <w:tcW w:type="dxa" w:w="307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255"/>
            <w:shd w:val="clear" w:color="auto" w:fill="F2F5F8"/>
          </w:tcPr>
          <w:p>
            <w:pPr>
              <w:spacing w:after="0"/>
              <w:jc w:val="left"/>
            </w:pPr>
            <w:r/>
            <w:r>
              <w:rPr>
                <w:rFonts w:ascii="Calibri" w:hAnsi="Calibri"/>
                <w:b w:val="0"/>
                <w:color w:val="1A1A1A"/>
                <w:sz w:val="24"/>
              </w:rPr>
              <w:t>Revisão (35 artigos, PRISMA 2020)</w:t>
            </w:r>
          </w:p>
        </w:tc>
        <w:tc>
          <w:tcPr>
            <w:tcW w:type="dxa" w:w="307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255"/>
          </w:tcPr>
          <w:p>
            <w:pPr>
              <w:spacing w:after="0"/>
              <w:jc w:val="left"/>
            </w:pPr>
            <w:r/>
            <w:r>
              <w:rPr>
                <w:rFonts w:ascii="Calibri" w:hAnsi="Calibri"/>
                <w:b w:val="0"/>
                <w:color w:val="1A1A1A"/>
                <w:sz w:val="24"/>
              </w:rPr>
              <w:t>Revisão</w:t>
            </w:r>
          </w:p>
        </w:tc>
        <w:tc>
          <w:tcPr>
            <w:tcW w:type="dxa" w:w="307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255"/>
            <w:shd w:val="clear" w:color="auto" w:fill="F2F5F8"/>
          </w:tcPr>
          <w:p>
            <w:pPr>
              <w:spacing w:after="0"/>
              <w:jc w:val="left"/>
            </w:pPr>
            <w:r/>
            <w:r>
              <w:rPr>
                <w:rFonts w:ascii="Calibri" w:hAnsi="Calibri"/>
                <w:b w:val="0"/>
                <w:color w:val="1A1A1A"/>
                <w:sz w:val="24"/>
              </w:rPr>
              <w:t>Estudo transversal, 57 participantes</w:t>
            </w:r>
          </w:p>
        </w:tc>
        <w:tc>
          <w:tcPr>
            <w:tcW w:type="dxa" w:w="307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255"/>
          </w:tcPr>
          <w:p>
            <w:pPr>
              <w:spacing w:after="0"/>
              <w:jc w:val="left"/>
            </w:pPr>
            <w:r/>
            <w:r>
              <w:rPr>
                <w:rFonts w:ascii="Calibri" w:hAnsi="Calibri"/>
                <w:b w:val="0"/>
                <w:color w:val="1A1A1A"/>
                <w:sz w:val="24"/>
              </w:rPr>
              <w:t>Revisão sistemática (29 de 1.832 registros)</w:t>
            </w:r>
          </w:p>
        </w:tc>
        <w:tc>
          <w:tcPr>
            <w:tcW w:type="dxa" w:w="307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N5-MAE-01 · Documento Mãe do Núcleo 5 · versão 2.0 · referência do ciclo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N5-MAE-01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