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POP-N5-T04  Falha de equipamento, incidente e evento adverso relacionado a tecnologia</w:t>
      </w:r>
    </w:p>
    <w:p>
      <w:pPr>
        <w:spacing w:after="120"/>
        <w:jc w:val="both"/>
      </w:pPr>
      <w:r>
        <w:rPr>
          <w:rFonts w:ascii="Calibri" w:hAnsi="Calibri"/>
          <w:b w:val="0"/>
          <w:i w:val="0"/>
          <w:color w:val="1A1A1A"/>
          <w:sz w:val="24"/>
        </w:rPr>
        <w:t>POP transversal de governança tecnológica. Trata de processo do serviço e não depende de produto ou modelo específico, razão pela qual está integralmente fechado.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220"/>
        <w:gridCol w:w="7852"/>
      </w:tblGrid>
      <w:tr>
        <w:trPr>
          <w:cantSplit/>
          <w:tblHeader/>
        </w:trPr>
        <w:tc>
          <w:tcPr>
            <w:tcW w:type="dxa" w:w="1220"/>
            <w:shd w:val="clear" w:color="auto" w:fill="143C64"/>
          </w:tcPr>
          <w:p>
            <w:pPr>
              <w:spacing w:after="0"/>
              <w:jc w:val="left"/>
            </w:pPr>
            <w:r/>
            <w:r>
              <w:rPr>
                <w:rFonts w:ascii="Calibri" w:hAnsi="Calibri"/>
                <w:b/>
                <w:color w:val="FFFFFF"/>
                <w:sz w:val="24"/>
              </w:rPr>
              <w:t>Nº</w:t>
            </w:r>
          </w:p>
        </w:tc>
        <w:tc>
          <w:tcPr>
            <w:tcW w:type="dxa" w:w="7852"/>
            <w:shd w:val="clear" w:color="auto" w:fill="143C64"/>
          </w:tcPr>
          <w:p>
            <w:pPr>
              <w:spacing w:after="0"/>
              <w:jc w:val="left"/>
            </w:pPr>
            <w:r/>
            <w:r>
              <w:rPr>
                <w:rFonts w:ascii="Calibri" w:hAnsi="Calibri"/>
                <w:b/>
                <w:color w:val="FFFFFF"/>
                <w:sz w:val="24"/>
              </w:rPr>
              <w:t>Passo operacional</w:t>
            </w:r>
          </w:p>
        </w:tc>
      </w:tr>
      <w:tr>
        <w:trPr>
          <w:cantSplit/>
        </w:trPr>
        <w:tc>
          <w:tcPr>
            <w:tcW w:type="dxa" w:w="1220"/>
          </w:tcPr>
          <w:p>
            <w:pPr>
              <w:spacing w:after="0"/>
              <w:jc w:val="left"/>
            </w:pPr>
            <w:r/>
            <w:r>
              <w:rPr>
                <w:rFonts w:ascii="Calibri" w:hAnsi="Calibri"/>
                <w:b w:val="0"/>
                <w:color w:val="1A1A1A"/>
                <w:sz w:val="24"/>
              </w:rPr>
              <w:t>1</w:t>
            </w:r>
          </w:p>
        </w:tc>
        <w:tc>
          <w:tcPr>
            <w:tcW w:type="dxa" w:w="7852"/>
          </w:tcPr>
          <w:p>
            <w:pPr>
              <w:spacing w:after="0"/>
              <w:jc w:val="left"/>
            </w:pPr>
            <w:r/>
            <w:r>
              <w:rPr>
                <w:rFonts w:ascii="Calibri" w:hAnsi="Calibri"/>
                <w:b w:val="0"/>
                <w:color w:val="1A1A1A"/>
                <w:sz w:val="24"/>
              </w:rPr>
              <w:t>Interromper o uso diante de falha, comportamento inesperado ou risco potencial ao paciente.</w:t>
            </w:r>
          </w:p>
        </w:tc>
      </w:tr>
      <w:tr>
        <w:trPr>
          <w:cantSplit/>
        </w:trPr>
        <w:tc>
          <w:tcPr>
            <w:tcW w:type="dxa" w:w="1220"/>
            <w:shd w:val="clear" w:color="auto" w:fill="F2F5F8"/>
          </w:tcPr>
          <w:p>
            <w:pPr>
              <w:spacing w:after="0"/>
              <w:jc w:val="left"/>
            </w:pPr>
            <w:r/>
            <w:r>
              <w:rPr>
                <w:rFonts w:ascii="Calibri" w:hAnsi="Calibri"/>
                <w:b w:val="0"/>
                <w:color w:val="1A1A1A"/>
                <w:sz w:val="24"/>
              </w:rPr>
              <w:t>2</w:t>
            </w:r>
          </w:p>
        </w:tc>
        <w:tc>
          <w:tcPr>
            <w:tcW w:type="dxa" w:w="7852"/>
            <w:shd w:val="clear" w:color="auto" w:fill="F2F5F8"/>
          </w:tcPr>
          <w:p>
            <w:pPr>
              <w:spacing w:after="0"/>
              <w:jc w:val="left"/>
            </w:pPr>
            <w:r/>
            <w:r>
              <w:rPr>
                <w:rFonts w:ascii="Calibri" w:hAnsi="Calibri"/>
                <w:b w:val="0"/>
                <w:color w:val="1A1A1A"/>
                <w:sz w:val="24"/>
              </w:rPr>
              <w:t>Priorizar a avaliação e o cuidado clínico do paciente, seguindo o fluxograma de intercorrências aplicável.</w:t>
            </w:r>
          </w:p>
        </w:tc>
      </w:tr>
      <w:tr>
        <w:trPr>
          <w:cantSplit/>
        </w:trPr>
        <w:tc>
          <w:tcPr>
            <w:tcW w:type="dxa" w:w="1220"/>
          </w:tcPr>
          <w:p>
            <w:pPr>
              <w:spacing w:after="0"/>
              <w:jc w:val="left"/>
            </w:pPr>
            <w:r/>
            <w:r>
              <w:rPr>
                <w:rFonts w:ascii="Calibri" w:hAnsi="Calibri"/>
                <w:b w:val="0"/>
                <w:color w:val="1A1A1A"/>
                <w:sz w:val="24"/>
              </w:rPr>
              <w:t>3</w:t>
            </w:r>
          </w:p>
        </w:tc>
        <w:tc>
          <w:tcPr>
            <w:tcW w:type="dxa" w:w="7852"/>
          </w:tcPr>
          <w:p>
            <w:pPr>
              <w:spacing w:after="0"/>
              <w:jc w:val="left"/>
            </w:pPr>
            <w:r/>
            <w:r>
              <w:rPr>
                <w:rFonts w:ascii="Calibri" w:hAnsi="Calibri"/>
                <w:b w:val="0"/>
                <w:color w:val="1A1A1A"/>
                <w:sz w:val="24"/>
              </w:rPr>
              <w:t>Segregar e identificar o equipamento quando houver suspeita de falha técnica, preservando evidências e rastreabilidade.</w:t>
            </w:r>
          </w:p>
        </w:tc>
      </w:tr>
      <w:tr>
        <w:trPr>
          <w:cantSplit/>
        </w:trPr>
        <w:tc>
          <w:tcPr>
            <w:tcW w:type="dxa" w:w="1220"/>
            <w:shd w:val="clear" w:color="auto" w:fill="F2F5F8"/>
          </w:tcPr>
          <w:p>
            <w:pPr>
              <w:spacing w:after="0"/>
              <w:jc w:val="left"/>
            </w:pPr>
            <w:r/>
            <w:r>
              <w:rPr>
                <w:rFonts w:ascii="Calibri" w:hAnsi="Calibri"/>
                <w:b w:val="0"/>
                <w:color w:val="1A1A1A"/>
                <w:sz w:val="24"/>
              </w:rPr>
              <w:t>4</w:t>
            </w:r>
          </w:p>
        </w:tc>
        <w:tc>
          <w:tcPr>
            <w:tcW w:type="dxa" w:w="7852"/>
            <w:shd w:val="clear" w:color="auto" w:fill="F2F5F8"/>
          </w:tcPr>
          <w:p>
            <w:pPr>
              <w:spacing w:after="0"/>
              <w:jc w:val="left"/>
            </w:pPr>
            <w:r/>
            <w:r>
              <w:rPr>
                <w:rFonts w:ascii="Calibri" w:hAnsi="Calibri"/>
                <w:b w:val="0"/>
                <w:color w:val="1A1A1A"/>
                <w:sz w:val="24"/>
              </w:rPr>
              <w:t>Registrar circunstâncias, parâmetros, identificação do equipamento, consumíveis, sequência temporal e medidas adotadas.</w:t>
            </w:r>
          </w:p>
        </w:tc>
      </w:tr>
      <w:tr>
        <w:trPr>
          <w:cantSplit/>
        </w:trPr>
        <w:tc>
          <w:tcPr>
            <w:tcW w:type="dxa" w:w="1220"/>
          </w:tcPr>
          <w:p>
            <w:pPr>
              <w:spacing w:after="0"/>
              <w:jc w:val="left"/>
            </w:pPr>
            <w:r/>
            <w:r>
              <w:rPr>
                <w:rFonts w:ascii="Calibri" w:hAnsi="Calibri"/>
                <w:b w:val="0"/>
                <w:color w:val="1A1A1A"/>
                <w:sz w:val="24"/>
              </w:rPr>
              <w:t>5</w:t>
            </w:r>
          </w:p>
        </w:tc>
        <w:tc>
          <w:tcPr>
            <w:tcW w:type="dxa" w:w="7852"/>
          </w:tcPr>
          <w:p>
            <w:pPr>
              <w:spacing w:after="0"/>
              <w:jc w:val="left"/>
            </w:pPr>
            <w:r/>
            <w:r>
              <w:rPr>
                <w:rFonts w:ascii="Calibri" w:hAnsi="Calibri"/>
                <w:b w:val="0"/>
                <w:color w:val="1A1A1A"/>
                <w:sz w:val="24"/>
              </w:rPr>
              <w:t>Avaliar a necessidade de assistência técnica, de notificação sanitária e de comunicação ao fabricante ou detentor do registro, conforme aplicável.</w:t>
            </w:r>
          </w:p>
        </w:tc>
      </w:tr>
      <w:tr>
        <w:trPr>
          <w:cantSplit/>
        </w:trPr>
        <w:tc>
          <w:tcPr>
            <w:tcW w:type="dxa" w:w="1220"/>
            <w:shd w:val="clear" w:color="auto" w:fill="F2F5F8"/>
          </w:tcPr>
          <w:p>
            <w:pPr>
              <w:spacing w:after="0"/>
              <w:jc w:val="left"/>
            </w:pPr>
            <w:r/>
            <w:r>
              <w:rPr>
                <w:rFonts w:ascii="Calibri" w:hAnsi="Calibri"/>
                <w:b w:val="0"/>
                <w:color w:val="1A1A1A"/>
                <w:sz w:val="24"/>
              </w:rPr>
              <w:t>6</w:t>
            </w:r>
          </w:p>
        </w:tc>
        <w:tc>
          <w:tcPr>
            <w:tcW w:type="dxa" w:w="7852"/>
            <w:shd w:val="clear" w:color="auto" w:fill="F2F5F8"/>
          </w:tcPr>
          <w:p>
            <w:pPr>
              <w:spacing w:after="0"/>
              <w:jc w:val="left"/>
            </w:pPr>
            <w:r/>
            <w:r>
              <w:rPr>
                <w:rFonts w:ascii="Calibri" w:hAnsi="Calibri"/>
                <w:b w:val="0"/>
                <w:color w:val="1A1A1A"/>
                <w:sz w:val="24"/>
              </w:rPr>
              <w:t>Realizar análise de causa e ação corretiva antes da liberação para novo uso.</w:t>
            </w:r>
          </w:p>
        </w:tc>
      </w:tr>
    </w:tbl>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Responsável Técnico</w:t>
            </w:r>
          </w:p>
        </w:tc>
        <w:tc>
          <w:tcPr>
            <w:tcW w:type="dxa" w:w="5431"/>
            <w:shd w:val="clear" w:color="auto" w:fill="F2F5F8"/>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POP-N5-T04 · Falha de equipamento, incidente e evento adverso relacionado a tecnologia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POP-N5-T04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