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360" w:after="160"/>
        <w:jc w:val="left"/>
        <w:pBdr>
          <w:bottom w:val="single" w:sz="8" w:space="4" w:color="143C64"/>
        </w:pBdr>
      </w:pPr>
      <w:r>
        <w:rPr>
          <w:rFonts w:ascii="Calibri" w:hAnsi="Calibri"/>
          <w:b/>
          <w:color w:val="143C64"/>
          <w:sz w:val="30"/>
        </w:rPr>
        <w:t>POP-N5-08  Infecção e abscesso após procedimento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07"/>
        <w:gridCol w:w="5665"/>
      </w:tblGrid>
      <w:tr>
        <w:trPr>
          <w:cantSplit/>
          <w:tblHeader/>
        </w:trPr>
        <w:tc>
          <w:tcPr>
            <w:tcW w:type="dxa" w:w="3407"/>
            <w:shd w:val="clear" w:color="auto" w:fill="143C64"/>
          </w:tcPr>
          <w:p>
            <w:pPr>
              <w:spacing w:after="0"/>
              <w:jc w:val="left"/>
            </w:pPr>
            <w:r/>
            <w:r>
              <w:rPr>
                <w:rFonts w:ascii="Calibri" w:hAnsi="Calibri"/>
                <w:b/>
                <w:color w:val="FFFFFF"/>
                <w:sz w:val="24"/>
              </w:rPr>
              <w:t>Campo</w:t>
            </w:r>
          </w:p>
        </w:tc>
        <w:tc>
          <w:tcPr>
            <w:tcW w:type="dxa" w:w="5665"/>
            <w:shd w:val="clear" w:color="auto" w:fill="143C64"/>
          </w:tcPr>
          <w:p>
            <w:pPr>
              <w:spacing w:after="0"/>
              <w:jc w:val="left"/>
            </w:pPr>
            <w:r/>
            <w:r>
              <w:rPr>
                <w:rFonts w:ascii="Calibri" w:hAnsi="Calibri"/>
                <w:b/>
                <w:color w:val="FFFFFF"/>
                <w:sz w:val="24"/>
              </w:rPr>
              <w:t>Conteúdo</w:t>
            </w:r>
          </w:p>
        </w:tc>
      </w:tr>
      <w:tr>
        <w:trPr>
          <w:cantSplit/>
        </w:trPr>
        <w:tc>
          <w:tcPr>
            <w:tcW w:type="dxa" w:w="3407"/>
          </w:tcPr>
          <w:p>
            <w:pPr>
              <w:spacing w:after="0"/>
              <w:jc w:val="left"/>
            </w:pPr>
            <w:r/>
            <w:r>
              <w:rPr>
                <w:rFonts w:ascii="Calibri" w:hAnsi="Calibri"/>
                <w:b/>
                <w:color w:val="1A1A1A"/>
                <w:sz w:val="24"/>
              </w:rPr>
              <w:t>1. Identificação</w:t>
            </w:r>
          </w:p>
        </w:tc>
        <w:tc>
          <w:tcPr>
            <w:tcW w:type="dxa" w:w="5665"/>
          </w:tcPr>
          <w:p>
            <w:pPr>
              <w:spacing w:after="0"/>
              <w:jc w:val="left"/>
            </w:pPr>
            <w:r/>
            <w:r>
              <w:rPr>
                <w:rFonts w:ascii="Calibri" w:hAnsi="Calibri"/>
                <w:b w:val="0"/>
                <w:color w:val="1A1A1A"/>
                <w:sz w:val="24"/>
              </w:rPr>
              <w:t>Código POP-N5-08. Versão 1.0. Emissão em 26 de agosto de 2026. Próxima revisão em até doze meses. Onda de produção 2. Situação de escopo: Livre. Responsável técnico pela redação: Campo de preenchimento pelo serviço.</w:t>
            </w:r>
          </w:p>
        </w:tc>
      </w:tr>
      <w:tr>
        <w:trPr>
          <w:cantSplit/>
        </w:trPr>
        <w:tc>
          <w:tcPr>
            <w:tcW w:type="dxa" w:w="3407"/>
            <w:shd w:val="clear" w:color="auto" w:fill="F2F5F8"/>
          </w:tcPr>
          <w:p>
            <w:pPr>
              <w:spacing w:after="0"/>
              <w:jc w:val="left"/>
            </w:pPr>
            <w:r/>
            <w:r>
              <w:rPr>
                <w:rFonts w:ascii="Calibri" w:hAnsi="Calibri"/>
                <w:b/>
                <w:color w:val="1A1A1A"/>
                <w:sz w:val="24"/>
              </w:rPr>
              <w:t>2. Objetivo e alcance</w:t>
            </w:r>
          </w:p>
        </w:tc>
        <w:tc>
          <w:tcPr>
            <w:tcW w:type="dxa" w:w="5665"/>
            <w:shd w:val="clear" w:color="auto" w:fill="F2F5F8"/>
          </w:tcPr>
          <w:p>
            <w:pPr>
              <w:spacing w:after="0"/>
              <w:jc w:val="left"/>
            </w:pPr>
            <w:r/>
            <w:r>
              <w:rPr>
                <w:rFonts w:ascii="Calibri" w:hAnsi="Calibri"/>
                <w:b w:val="0"/>
                <w:color w:val="1A1A1A"/>
                <w:sz w:val="24"/>
              </w:rPr>
              <w:t>Padronizar o reconhecimento, a documentação e o encaminhamento de processo infeccioso após procedimento em Harmonização Orofacial. Não define esquema terapêutico antimicrobiano, que depende de avaliação clínica individual e de prescrição.</w:t>
            </w:r>
          </w:p>
        </w:tc>
      </w:tr>
      <w:tr>
        <w:trPr>
          <w:cantSplit/>
        </w:trPr>
        <w:tc>
          <w:tcPr>
            <w:tcW w:type="dxa" w:w="3407"/>
          </w:tcPr>
          <w:p>
            <w:pPr>
              <w:spacing w:after="0"/>
              <w:jc w:val="left"/>
            </w:pPr>
            <w:r/>
            <w:r>
              <w:rPr>
                <w:rFonts w:ascii="Calibri" w:hAnsi="Calibri"/>
                <w:b/>
                <w:color w:val="1A1A1A"/>
                <w:sz w:val="24"/>
              </w:rPr>
              <w:t>3. Situação regulatória</w:t>
            </w:r>
          </w:p>
        </w:tc>
        <w:tc>
          <w:tcPr>
            <w:tcW w:type="dxa" w:w="5665"/>
          </w:tcPr>
          <w:p>
            <w:pPr>
              <w:spacing w:after="0"/>
              <w:jc w:val="left"/>
            </w:pPr>
            <w:r/>
            <w:r>
              <w:rPr>
                <w:rFonts w:ascii="Calibri" w:hAnsi="Calibri"/>
                <w:b w:val="0"/>
                <w:color w:val="1A1A1A"/>
                <w:sz w:val="24"/>
              </w:rPr>
              <w:t>RDC Anvisa nº 1.002/2025, art. 110. As rotinas de biossegurança e processamento seguem o POP-N5-11 e a norma sanitária aplicável.</w:t>
            </w:r>
          </w:p>
        </w:tc>
      </w:tr>
      <w:tr>
        <w:trPr>
          <w:cantSplit/>
        </w:trPr>
        <w:tc>
          <w:tcPr>
            <w:tcW w:type="dxa" w:w="3407"/>
            <w:shd w:val="clear" w:color="auto" w:fill="F2F5F8"/>
          </w:tcPr>
          <w:p>
            <w:pPr>
              <w:spacing w:after="0"/>
              <w:jc w:val="left"/>
            </w:pPr>
            <w:r/>
            <w:r>
              <w:rPr>
                <w:rFonts w:ascii="Calibri" w:hAnsi="Calibri"/>
                <w:b/>
                <w:color w:val="1A1A1A"/>
                <w:sz w:val="24"/>
              </w:rPr>
              <w:t>4. Competência exigida</w:t>
            </w:r>
          </w:p>
        </w:tc>
        <w:tc>
          <w:tcPr>
            <w:tcW w:type="dxa" w:w="5665"/>
            <w:shd w:val="clear" w:color="auto" w:fill="F2F5F8"/>
          </w:tcPr>
          <w:p>
            <w:pPr>
              <w:spacing w:after="0"/>
              <w:jc w:val="left"/>
            </w:pPr>
            <w:r/>
            <w:r>
              <w:rPr>
                <w:rFonts w:ascii="Calibri" w:hAnsi="Calibri"/>
                <w:b w:val="0"/>
                <w:color w:val="1A1A1A"/>
                <w:sz w:val="24"/>
              </w:rPr>
              <w:t>Cirurgião-dentista habilitado. Casos com sinais sistêmicos, comprometimento de estruturas profundas ou paciente imunossuprimido exigem encaminhamento.</w:t>
            </w:r>
          </w:p>
        </w:tc>
      </w:tr>
      <w:tr>
        <w:trPr>
          <w:cantSplit/>
        </w:trPr>
        <w:tc>
          <w:tcPr>
            <w:tcW w:type="dxa" w:w="3407"/>
          </w:tcPr>
          <w:p>
            <w:pPr>
              <w:spacing w:after="0"/>
              <w:jc w:val="left"/>
            </w:pPr>
            <w:r/>
            <w:r>
              <w:rPr>
                <w:rFonts w:ascii="Calibri" w:hAnsi="Calibri"/>
                <w:b/>
                <w:color w:val="1A1A1A"/>
                <w:sz w:val="24"/>
              </w:rPr>
              <w:t>5. Materiais e equipamentos</w:t>
            </w:r>
          </w:p>
        </w:tc>
        <w:tc>
          <w:tcPr>
            <w:tcW w:type="dxa" w:w="5665"/>
          </w:tcPr>
          <w:p>
            <w:pPr>
              <w:spacing w:after="0"/>
              <w:jc w:val="left"/>
            </w:pPr>
            <w:r/>
            <w:r>
              <w:rPr>
                <w:rFonts w:ascii="Calibri" w:hAnsi="Calibri"/>
                <w:b w:val="0"/>
                <w:color w:val="1A1A1A"/>
                <w:sz w:val="24"/>
              </w:rPr>
              <w:t>Material para avaliação clínica; equipamento de documentação fotográfica; material para coleta quando indicado e disponível; formulário de evolução.</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Recuperação do registro do procedimento de origem e das condições de biossegurança aplicadas.</w:t>
      </w:r>
    </w:p>
    <w:p>
      <w:pPr>
        <w:pStyle w:val="ListBullet"/>
        <w:spacing w:after="60"/>
        <w:ind w:left="397"/>
        <w:jc w:val="both"/>
      </w:pPr>
      <w:r>
        <w:rPr>
          <w:rFonts w:ascii="Calibri" w:hAnsi="Calibri"/>
          <w:color w:val="1A1A1A"/>
          <w:sz w:val="24"/>
        </w:rPr>
        <w:t>☐  Tempo decorrido desde o procedimento.</w:t>
      </w:r>
    </w:p>
    <w:p>
      <w:pPr>
        <w:pStyle w:val="ListBullet"/>
        <w:spacing w:after="60"/>
        <w:ind w:left="397"/>
        <w:jc w:val="both"/>
      </w:pPr>
      <w:r>
        <w:rPr>
          <w:rFonts w:ascii="Calibri" w:hAnsi="Calibri"/>
          <w:color w:val="1A1A1A"/>
          <w:sz w:val="24"/>
        </w:rPr>
        <w:t>☐  Presença de febre, mal-estar ou outro sinal sistêmico.</w:t>
      </w:r>
    </w:p>
    <w:p>
      <w:pPr>
        <w:pStyle w:val="ListBullet"/>
        <w:spacing w:after="60"/>
        <w:ind w:left="397"/>
        <w:jc w:val="both"/>
      </w:pPr>
      <w:r>
        <w:rPr>
          <w:rFonts w:ascii="Calibri" w:hAnsi="Calibri"/>
          <w:color w:val="1A1A1A"/>
          <w:sz w:val="24"/>
        </w:rPr>
        <w:t>☐  Condição imunológica e comorbidades do paciente.</w:t>
      </w:r>
    </w:p>
    <w:p>
      <w:pPr>
        <w:pStyle w:val="ListBullet"/>
        <w:spacing w:after="60"/>
        <w:ind w:left="397"/>
        <w:jc w:val="both"/>
      </w:pPr>
      <w:r>
        <w:rPr>
          <w:rFonts w:ascii="Calibri" w:hAnsi="Calibri"/>
          <w:color w:val="1A1A1A"/>
          <w:sz w:val="24"/>
        </w:rPr>
        <w:t>☐  Uso prévio de antimicrobiano, com identificação de esquema e duração.</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Reconhecer sinais como eritema progressivo, calor, edema, dor persistente e secreção.</w:t>
      </w:r>
    </w:p>
    <w:p>
      <w:pPr>
        <w:pStyle w:val="ListNumber"/>
        <w:spacing w:after="60"/>
        <w:ind w:left="397"/>
        <w:jc w:val="both"/>
      </w:pPr>
      <w:r>
        <w:rPr>
          <w:rFonts w:ascii="Calibri" w:hAnsi="Calibri"/>
          <w:color w:val="1A1A1A"/>
          <w:sz w:val="24"/>
        </w:rPr>
        <w:t>Avaliar a gravidade, considerando extensão, profundidade, sinais sistêmicos e condição do paciente.</w:t>
      </w:r>
    </w:p>
    <w:p>
      <w:pPr>
        <w:pStyle w:val="ListNumber"/>
        <w:spacing w:after="60"/>
        <w:ind w:left="397"/>
        <w:jc w:val="both"/>
      </w:pPr>
      <w:r>
        <w:rPr>
          <w:rFonts w:ascii="Calibri" w:hAnsi="Calibri"/>
          <w:color w:val="1A1A1A"/>
          <w:sz w:val="24"/>
        </w:rPr>
        <w:t>Documentar por escrito e por fotografia padronizada.</w:t>
      </w:r>
    </w:p>
    <w:p>
      <w:pPr>
        <w:pStyle w:val="ListNumber"/>
        <w:spacing w:after="60"/>
        <w:ind w:left="397"/>
        <w:jc w:val="both"/>
      </w:pPr>
      <w:r>
        <w:rPr>
          <w:rFonts w:ascii="Calibri" w:hAnsi="Calibri"/>
          <w:color w:val="1A1A1A"/>
          <w:sz w:val="24"/>
        </w:rPr>
        <w:t>Definir conduta conforme avaliação clínica e protocolo do serviço, ou encaminhar.</w:t>
      </w:r>
    </w:p>
    <w:p>
      <w:pPr>
        <w:pStyle w:val="ListNumber"/>
        <w:spacing w:after="60"/>
        <w:ind w:left="397"/>
        <w:jc w:val="both"/>
      </w:pPr>
      <w:r>
        <w:rPr>
          <w:rFonts w:ascii="Calibri" w:hAnsi="Calibri"/>
          <w:color w:val="1A1A1A"/>
          <w:sz w:val="24"/>
        </w:rPr>
        <w:t>Considerar coleta para exame quando indicada e disponível, sem que a espera pelo resultado retarde a conduta necessária.</w:t>
      </w:r>
    </w:p>
    <w:p>
      <w:pPr>
        <w:pStyle w:val="ListNumber"/>
        <w:spacing w:after="60"/>
        <w:ind w:left="397"/>
        <w:jc w:val="both"/>
      </w:pPr>
      <w:r>
        <w:rPr>
          <w:rFonts w:ascii="Calibri" w:hAnsi="Calibri"/>
          <w:color w:val="1A1A1A"/>
          <w:sz w:val="24"/>
        </w:rPr>
        <w:t>Programar reavaliação em prazo curto e definido.</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Febre, prostração ou qualquer sinal sistêmico.</w:t>
      </w:r>
    </w:p>
    <w:p>
      <w:pPr>
        <w:pStyle w:val="ListBullet"/>
        <w:spacing w:after="60"/>
        <w:ind w:left="397"/>
        <w:jc w:val="both"/>
      </w:pPr>
      <w:r>
        <w:rPr>
          <w:rFonts w:ascii="Calibri" w:hAnsi="Calibri"/>
          <w:color w:val="1A1A1A"/>
          <w:sz w:val="24"/>
        </w:rPr>
        <w:t>Progressão rápida da área acometida.</w:t>
      </w:r>
    </w:p>
    <w:p>
      <w:pPr>
        <w:pStyle w:val="ListBullet"/>
        <w:spacing w:after="60"/>
        <w:ind w:left="397"/>
        <w:jc w:val="both"/>
      </w:pPr>
      <w:r>
        <w:rPr>
          <w:rFonts w:ascii="Calibri" w:hAnsi="Calibri"/>
          <w:color w:val="1A1A1A"/>
          <w:sz w:val="24"/>
        </w:rPr>
        <w:t>Comprometimento de estruturas profundas, limitação de abertura bucal ou disfagia.</w:t>
      </w:r>
    </w:p>
    <w:p>
      <w:pPr>
        <w:pStyle w:val="ListBullet"/>
        <w:spacing w:after="60"/>
        <w:ind w:left="397"/>
        <w:jc w:val="both"/>
      </w:pPr>
      <w:r>
        <w:rPr>
          <w:rFonts w:ascii="Calibri" w:hAnsi="Calibri"/>
          <w:color w:val="1A1A1A"/>
          <w:sz w:val="24"/>
        </w:rPr>
        <w:t>Ausência de resposta ao tratamento instituído no prazo esperado.</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Sinal sistêmico ou progressão rápida configura urgência e exige encaminhamento imediato. Instabilidade sistêmica segue o POP-N5-10.</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Procedimento de origem, produto, lote, região e data.</w:t>
      </w:r>
    </w:p>
    <w:p>
      <w:pPr>
        <w:pStyle w:val="ListBullet"/>
        <w:spacing w:after="60"/>
        <w:ind w:left="397"/>
        <w:jc w:val="both"/>
      </w:pPr>
      <w:r>
        <w:rPr>
          <w:rFonts w:ascii="Calibri" w:hAnsi="Calibri"/>
          <w:color w:val="1A1A1A"/>
          <w:sz w:val="24"/>
        </w:rPr>
        <w:t>Descrição objetiva do quadro, com fotografia e medidas.</w:t>
      </w:r>
    </w:p>
    <w:p>
      <w:pPr>
        <w:pStyle w:val="ListBullet"/>
        <w:spacing w:after="60"/>
        <w:ind w:left="397"/>
        <w:jc w:val="both"/>
      </w:pPr>
      <w:r>
        <w:rPr>
          <w:rFonts w:ascii="Calibri" w:hAnsi="Calibri"/>
          <w:color w:val="1A1A1A"/>
          <w:sz w:val="24"/>
        </w:rPr>
        <w:t>Conduta adotada, justificativa e prazo de reavaliação.</w:t>
      </w:r>
    </w:p>
    <w:p>
      <w:pPr>
        <w:pStyle w:val="ListBullet"/>
        <w:spacing w:after="60"/>
        <w:ind w:left="397"/>
        <w:jc w:val="both"/>
      </w:pPr>
      <w:r>
        <w:rPr>
          <w:rFonts w:ascii="Calibri" w:hAnsi="Calibri"/>
          <w:color w:val="1A1A1A"/>
          <w:sz w:val="24"/>
        </w:rPr>
        <w:t>Encaminhamento, quando houver, com destino e horário.</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Seguimento documentado até a resolução. Revisão interna das condições de biossegurança do procedimento de origem. Avaliar notificação conforme o POP-N5-17.</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RDC Anvisa nº 1.002/2025. Documentos 07, 08 e 09 do pacote. POP-N5-11.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POP-N5-08 · Infecção e abscesso após procedimento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POP-N5-08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