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PEÇA DE COMUNICAÇÃO INSTITUCIONAL</w:t>
      </w:r>
    </w:p>
    <w:p>
      <w:pPr>
        <w:spacing w:after="160"/>
        <w:jc w:val="center"/>
      </w:pPr>
      <w:r>
        <w:rPr>
          <w:rFonts w:ascii="Calibri" w:hAnsi="Calibri"/>
          <w:b/>
          <w:color w:val="143C64"/>
          <w:sz w:val="48"/>
        </w:rPr>
        <w:t>Carrossel Institucional HOF Segura</w:t>
      </w:r>
    </w:p>
    <w:p>
      <w:pPr>
        <w:spacing w:after="720"/>
        <w:jc w:val="center"/>
      </w:pPr>
      <w:r>
        <w:rPr>
          <w:rFonts w:ascii="Calibri" w:hAnsi="Calibri"/>
          <w:b w:val="0"/>
          <w:i w:val="0"/>
          <w:color w:val="444A52"/>
          <w:sz w:val="26"/>
        </w:rPr>
        <w:t>Sequência definitiva de doze cards, com texto aprovado, legenda, situação de cada arquivo e especificação de reexportação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CT-HOF-CAR-01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1.0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27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Submetido à validação institucional e à área de Comunicação</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Situação em uma frase</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Cinco cards estão prontos, sete precisam ser reexportados, três foram descartados</w:t>
            </w:r>
          </w:p>
          <w:p>
            <w:pPr>
              <w:spacing w:after="0"/>
              <w:jc w:val="both"/>
            </w:pPr>
            <w:r>
              <w:rPr>
                <w:rFonts w:ascii="Calibri" w:hAnsi="Calibri"/>
                <w:color w:val="1A1A1A"/>
                <w:sz w:val="24"/>
              </w:rPr>
              <w:t>A sequência de doze está definida e o texto está aprovado. O impedimento não é de conteúdo: sete arquivos foram recortados de um mosaico em vez de exportados individualmente, e por isso carregam faixas de slides vizinhos e rodapés cortados. Isso não se corrige por edição, e sim reexportando do arquivo de origem. A reexportação é mecânica, porque o texto de cada card já está fechado neste documento.</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Sequência definitiva dos doze cards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91"/>
        <w:gridCol w:w="2307"/>
        <w:gridCol w:w="2307"/>
        <w:gridCol w:w="2437"/>
        <w:gridCol w:w="1529"/>
      </w:tblGrid>
      <w:tr>
        <w:trPr>
          <w:cantSplit/>
          <w:tblHeader/>
        </w:trPr>
        <w:tc>
          <w:tcPr>
            <w:tcW w:type="dxa" w:w="491"/>
            <w:shd w:val="clear" w:color="auto" w:fill="143C64"/>
          </w:tcPr>
          <w:p>
            <w:pPr>
              <w:spacing w:after="0"/>
              <w:jc w:val="left"/>
            </w:pPr>
            <w:r/>
            <w:r>
              <w:rPr>
                <w:rFonts w:ascii="Calibri" w:hAnsi="Calibri"/>
                <w:b/>
                <w:color w:val="FFFFFF"/>
                <w:sz w:val="24"/>
              </w:rPr>
              <w:t>Nº</w:t>
            </w:r>
          </w:p>
        </w:tc>
        <w:tc>
          <w:tcPr>
            <w:tcW w:type="dxa" w:w="2307"/>
            <w:shd w:val="clear" w:color="auto" w:fill="143C64"/>
          </w:tcPr>
          <w:p>
            <w:pPr>
              <w:spacing w:after="0"/>
              <w:jc w:val="left"/>
            </w:pPr>
            <w:r/>
            <w:r>
              <w:rPr>
                <w:rFonts w:ascii="Calibri" w:hAnsi="Calibri"/>
                <w:b/>
                <w:color w:val="FFFFFF"/>
                <w:sz w:val="24"/>
              </w:rPr>
              <w:t>Função</w:t>
            </w:r>
          </w:p>
        </w:tc>
        <w:tc>
          <w:tcPr>
            <w:tcW w:type="dxa" w:w="2307"/>
            <w:shd w:val="clear" w:color="auto" w:fill="143C64"/>
          </w:tcPr>
          <w:p>
            <w:pPr>
              <w:spacing w:after="0"/>
              <w:jc w:val="left"/>
            </w:pPr>
            <w:r/>
            <w:r>
              <w:rPr>
                <w:rFonts w:ascii="Calibri" w:hAnsi="Calibri"/>
                <w:b/>
                <w:color w:val="FFFFFF"/>
                <w:sz w:val="24"/>
              </w:rPr>
              <w:t>Título do card</w:t>
            </w:r>
          </w:p>
        </w:tc>
        <w:tc>
          <w:tcPr>
            <w:tcW w:type="dxa" w:w="2437"/>
            <w:shd w:val="clear" w:color="auto" w:fill="143C64"/>
          </w:tcPr>
          <w:p>
            <w:pPr>
              <w:spacing w:after="0"/>
              <w:jc w:val="left"/>
            </w:pPr>
            <w:r/>
            <w:r>
              <w:rPr>
                <w:rFonts w:ascii="Calibri" w:hAnsi="Calibri"/>
                <w:b/>
                <w:color w:val="FFFFFF"/>
                <w:sz w:val="24"/>
              </w:rPr>
              <w:t>Texto de apoio</w:t>
            </w:r>
          </w:p>
        </w:tc>
        <w:tc>
          <w:tcPr>
            <w:tcW w:type="dxa" w:w="1529"/>
            <w:shd w:val="clear" w:color="auto" w:fill="143C64"/>
          </w:tcPr>
          <w:p>
            <w:pPr>
              <w:spacing w:after="0"/>
              <w:jc w:val="left"/>
            </w:pPr>
            <w:r/>
            <w:r>
              <w:rPr>
                <w:rFonts w:ascii="Calibri" w:hAnsi="Calibri"/>
                <w:b/>
                <w:color w:val="FFFFFF"/>
                <w:sz w:val="24"/>
              </w:rPr>
              <w:t>Situação</w:t>
            </w:r>
          </w:p>
        </w:tc>
      </w:tr>
      <w:tr>
        <w:trPr>
          <w:cantSplit/>
        </w:trPr>
        <w:tc>
          <w:tcPr>
            <w:tcW w:type="dxa" w:w="491"/>
          </w:tcPr>
          <w:p>
            <w:pPr>
              <w:spacing w:after="0"/>
              <w:jc w:val="left"/>
            </w:pPr>
            <w:r/>
            <w:r>
              <w:rPr>
                <w:rFonts w:ascii="Calibri" w:hAnsi="Calibri"/>
                <w:b w:val="0"/>
                <w:color w:val="1A1A1A"/>
                <w:sz w:val="24"/>
              </w:rPr>
              <w:t>01</w:t>
            </w:r>
          </w:p>
        </w:tc>
        <w:tc>
          <w:tcPr>
            <w:tcW w:type="dxa" w:w="2307"/>
          </w:tcPr>
          <w:p>
            <w:pPr>
              <w:spacing w:after="0"/>
              <w:jc w:val="left"/>
            </w:pPr>
            <w:r/>
            <w:r>
              <w:rPr>
                <w:rFonts w:ascii="Calibri" w:hAnsi="Calibri"/>
                <w:b w:val="0"/>
                <w:color w:val="1A1A1A"/>
                <w:sz w:val="24"/>
              </w:rPr>
              <w:t>Capa</w:t>
            </w:r>
          </w:p>
        </w:tc>
        <w:tc>
          <w:tcPr>
            <w:tcW w:type="dxa" w:w="2307"/>
          </w:tcPr>
          <w:p>
            <w:pPr>
              <w:spacing w:after="0"/>
              <w:jc w:val="left"/>
            </w:pPr>
            <w:r/>
            <w:r>
              <w:rPr>
                <w:rFonts w:ascii="Calibri" w:hAnsi="Calibri"/>
                <w:b w:val="0"/>
                <w:color w:val="1A1A1A"/>
                <w:sz w:val="24"/>
              </w:rPr>
              <w:t>Segurança que transforma. Confiança que permanece.</w:t>
            </w:r>
          </w:p>
        </w:tc>
        <w:tc>
          <w:tcPr>
            <w:tcW w:type="dxa" w:w="2437"/>
          </w:tcPr>
          <w:p>
            <w:pPr>
              <w:spacing w:after="0"/>
              <w:jc w:val="left"/>
            </w:pPr>
            <w:r/>
            <w:r>
              <w:rPr>
                <w:rFonts w:ascii="Calibri" w:hAnsi="Calibri"/>
                <w:b w:val="0"/>
                <w:color w:val="1A1A1A"/>
                <w:sz w:val="24"/>
              </w:rPr>
              <w:t>O Núcleo 5 trabalha para que cada decisão clínica seja segura, responsável e baseada em evidências.</w:t>
            </w:r>
          </w:p>
        </w:tc>
        <w:tc>
          <w:tcPr>
            <w:tcW w:type="dxa" w:w="1529"/>
          </w:tcPr>
          <w:p>
            <w:pPr>
              <w:spacing w:after="0"/>
              <w:jc w:val="left"/>
            </w:pPr>
            <w:r/>
            <w:r>
              <w:rPr>
                <w:rFonts w:ascii="Calibri" w:hAnsi="Calibri"/>
                <w:b w:val="0"/>
                <w:color w:val="1A1A1A"/>
                <w:sz w:val="24"/>
              </w:rPr>
              <w:t>Pronto</w:t>
            </w:r>
          </w:p>
        </w:tc>
      </w:tr>
      <w:tr>
        <w:trPr>
          <w:cantSplit/>
        </w:trPr>
        <w:tc>
          <w:tcPr>
            <w:tcW w:type="dxa" w:w="491"/>
            <w:shd w:val="clear" w:color="auto" w:fill="F2F5F8"/>
          </w:tcPr>
          <w:p>
            <w:pPr>
              <w:spacing w:after="0"/>
              <w:jc w:val="left"/>
            </w:pPr>
            <w:r/>
            <w:r>
              <w:rPr>
                <w:rFonts w:ascii="Calibri" w:hAnsi="Calibri"/>
                <w:b w:val="0"/>
                <w:color w:val="1A1A1A"/>
                <w:sz w:val="24"/>
              </w:rPr>
              <w:t>02</w:t>
            </w:r>
          </w:p>
        </w:tc>
        <w:tc>
          <w:tcPr>
            <w:tcW w:type="dxa" w:w="2307"/>
            <w:shd w:val="clear" w:color="auto" w:fill="F2F5F8"/>
          </w:tcPr>
          <w:p>
            <w:pPr>
              <w:spacing w:after="0"/>
              <w:jc w:val="left"/>
            </w:pPr>
            <w:r/>
            <w:r>
              <w:rPr>
                <w:rFonts w:ascii="Calibri" w:hAnsi="Calibri"/>
                <w:b w:val="0"/>
                <w:color w:val="1A1A1A"/>
                <w:sz w:val="24"/>
              </w:rPr>
              <w:t>Quem somos</w:t>
            </w:r>
          </w:p>
        </w:tc>
        <w:tc>
          <w:tcPr>
            <w:tcW w:type="dxa" w:w="2307"/>
            <w:shd w:val="clear" w:color="auto" w:fill="F2F5F8"/>
          </w:tcPr>
          <w:p>
            <w:pPr>
              <w:spacing w:after="0"/>
              <w:jc w:val="left"/>
            </w:pPr>
            <w:r/>
            <w:r>
              <w:rPr>
                <w:rFonts w:ascii="Calibri" w:hAnsi="Calibri"/>
                <w:b w:val="0"/>
                <w:color w:val="1A1A1A"/>
                <w:sz w:val="24"/>
              </w:rPr>
              <w:t>Inovação, Tecnologias e Segurança Clínica</w:t>
            </w:r>
          </w:p>
        </w:tc>
        <w:tc>
          <w:tcPr>
            <w:tcW w:type="dxa" w:w="2437"/>
            <w:shd w:val="clear" w:color="auto" w:fill="F2F5F8"/>
          </w:tcPr>
          <w:p>
            <w:pPr>
              <w:spacing w:after="0"/>
              <w:jc w:val="left"/>
            </w:pPr>
            <w:r/>
            <w:r>
              <w:rPr>
                <w:rFonts w:ascii="Calibri" w:hAnsi="Calibri"/>
                <w:b w:val="0"/>
                <w:color w:val="1A1A1A"/>
                <w:sz w:val="24"/>
              </w:rPr>
              <w:t>Nosso compromisso com você, profissional da HOF. Cinco marcas: evidência científica, avaliação tecnológica, segurança clínica, proteção do paciente, ética e responsabilidade.</w:t>
            </w:r>
          </w:p>
        </w:tc>
        <w:tc>
          <w:tcPr>
            <w:tcW w:type="dxa" w:w="1529"/>
            <w:shd w:val="clear" w:color="auto" w:fill="F2F5F8"/>
          </w:tcPr>
          <w:p>
            <w:pPr>
              <w:spacing w:after="0"/>
              <w:jc w:val="left"/>
            </w:pPr>
            <w:r/>
            <w:r>
              <w:rPr>
                <w:rFonts w:ascii="Calibri" w:hAnsi="Calibri"/>
                <w:b w:val="0"/>
                <w:color w:val="1A1A1A"/>
                <w:sz w:val="24"/>
              </w:rPr>
              <w:t>Reexportar</w:t>
            </w:r>
          </w:p>
        </w:tc>
      </w:tr>
      <w:tr>
        <w:trPr>
          <w:cantSplit/>
        </w:trPr>
        <w:tc>
          <w:tcPr>
            <w:tcW w:type="dxa" w:w="491"/>
          </w:tcPr>
          <w:p>
            <w:pPr>
              <w:spacing w:after="0"/>
              <w:jc w:val="left"/>
            </w:pPr>
            <w:r/>
            <w:r>
              <w:rPr>
                <w:rFonts w:ascii="Calibri" w:hAnsi="Calibri"/>
                <w:b w:val="0"/>
                <w:color w:val="1A1A1A"/>
                <w:sz w:val="24"/>
              </w:rPr>
              <w:t>03</w:t>
            </w:r>
          </w:p>
        </w:tc>
        <w:tc>
          <w:tcPr>
            <w:tcW w:type="dxa" w:w="2307"/>
          </w:tcPr>
          <w:p>
            <w:pPr>
              <w:spacing w:after="0"/>
              <w:jc w:val="left"/>
            </w:pPr>
            <w:r/>
            <w:r>
              <w:rPr>
                <w:rFonts w:ascii="Calibri" w:hAnsi="Calibri"/>
                <w:b w:val="0"/>
                <w:color w:val="1A1A1A"/>
                <w:sz w:val="24"/>
              </w:rPr>
              <w:t>O que fazemos</w:t>
            </w:r>
          </w:p>
        </w:tc>
        <w:tc>
          <w:tcPr>
            <w:tcW w:type="dxa" w:w="2307"/>
          </w:tcPr>
          <w:p>
            <w:pPr>
              <w:spacing w:after="0"/>
              <w:jc w:val="left"/>
            </w:pPr>
            <w:r/>
            <w:r>
              <w:rPr>
                <w:rFonts w:ascii="Calibri" w:hAnsi="Calibri"/>
                <w:b w:val="0"/>
                <w:color w:val="1A1A1A"/>
                <w:sz w:val="24"/>
              </w:rPr>
              <w:t>O que fazemos</w:t>
            </w:r>
          </w:p>
        </w:tc>
        <w:tc>
          <w:tcPr>
            <w:tcW w:type="dxa" w:w="2437"/>
          </w:tcPr>
          <w:p>
            <w:pPr>
              <w:spacing w:after="0"/>
              <w:jc w:val="left"/>
            </w:pPr>
            <w:r/>
            <w:r>
              <w:rPr>
                <w:rFonts w:ascii="Calibri" w:hAnsi="Calibri"/>
                <w:b w:val="0"/>
                <w:color w:val="1A1A1A"/>
                <w:sz w:val="24"/>
              </w:rPr>
              <w:t>Avaliamos tecnologias com rigor. Produzimos protocolos e fluxos de decisão. Promovemos educação continuada. Monitoramos tendências e riscos emergentes. Apoiamos o profissional em decisões mais seguras.</w:t>
            </w:r>
          </w:p>
        </w:tc>
        <w:tc>
          <w:tcPr>
            <w:tcW w:type="dxa" w:w="1529"/>
          </w:tcPr>
          <w:p>
            <w:pPr>
              <w:spacing w:after="0"/>
              <w:jc w:val="left"/>
            </w:pPr>
            <w:r/>
            <w:r>
              <w:rPr>
                <w:rFonts w:ascii="Calibri" w:hAnsi="Calibri"/>
                <w:b w:val="0"/>
                <w:color w:val="1A1A1A"/>
                <w:sz w:val="24"/>
              </w:rPr>
              <w:t>Reexportar</w:t>
            </w:r>
          </w:p>
        </w:tc>
      </w:tr>
      <w:tr>
        <w:trPr>
          <w:cantSplit/>
        </w:trPr>
        <w:tc>
          <w:tcPr>
            <w:tcW w:type="dxa" w:w="491"/>
            <w:shd w:val="clear" w:color="auto" w:fill="F2F5F8"/>
          </w:tcPr>
          <w:p>
            <w:pPr>
              <w:spacing w:after="0"/>
              <w:jc w:val="left"/>
            </w:pPr>
            <w:r/>
            <w:r>
              <w:rPr>
                <w:rFonts w:ascii="Calibri" w:hAnsi="Calibri"/>
                <w:b w:val="0"/>
                <w:color w:val="1A1A1A"/>
                <w:sz w:val="24"/>
              </w:rPr>
              <w:t>04</w:t>
            </w:r>
          </w:p>
        </w:tc>
        <w:tc>
          <w:tcPr>
            <w:tcW w:type="dxa" w:w="2307"/>
            <w:shd w:val="clear" w:color="auto" w:fill="F2F5F8"/>
          </w:tcPr>
          <w:p>
            <w:pPr>
              <w:spacing w:after="0"/>
              <w:jc w:val="left"/>
            </w:pPr>
            <w:r/>
            <w:r>
              <w:rPr>
                <w:rFonts w:ascii="Calibri" w:hAnsi="Calibri"/>
                <w:b w:val="0"/>
                <w:color w:val="1A1A1A"/>
                <w:sz w:val="24"/>
              </w:rPr>
              <w:t>Método</w:t>
            </w:r>
          </w:p>
        </w:tc>
        <w:tc>
          <w:tcPr>
            <w:tcW w:type="dxa" w:w="2307"/>
            <w:shd w:val="clear" w:color="auto" w:fill="F2F5F8"/>
          </w:tcPr>
          <w:p>
            <w:pPr>
              <w:spacing w:after="0"/>
              <w:jc w:val="left"/>
            </w:pPr>
            <w:r/>
            <w:r>
              <w:rPr>
                <w:rFonts w:ascii="Calibri" w:hAnsi="Calibri"/>
                <w:b w:val="0"/>
                <w:color w:val="1A1A1A"/>
                <w:sz w:val="24"/>
              </w:rPr>
              <w:t>Segurança não é sorte. É método.</w:t>
            </w:r>
          </w:p>
        </w:tc>
        <w:tc>
          <w:tcPr>
            <w:tcW w:type="dxa" w:w="2437"/>
            <w:shd w:val="clear" w:color="auto" w:fill="F2F5F8"/>
          </w:tcPr>
          <w:p>
            <w:pPr>
              <w:spacing w:after="0"/>
              <w:jc w:val="left"/>
            </w:pPr>
            <w:r/>
            <w:r>
              <w:rPr>
                <w:rFonts w:ascii="Calibri" w:hAnsi="Calibri"/>
                <w:b w:val="0"/>
                <w:color w:val="1A1A1A"/>
                <w:sz w:val="24"/>
              </w:rPr>
              <w:t>A HOF exige preparo, conhecimento e protocolos claros para cada etapa.</w:t>
            </w:r>
          </w:p>
        </w:tc>
        <w:tc>
          <w:tcPr>
            <w:tcW w:type="dxa" w:w="1529"/>
            <w:shd w:val="clear" w:color="auto" w:fill="F2F5F8"/>
          </w:tcPr>
          <w:p>
            <w:pPr>
              <w:spacing w:after="0"/>
              <w:jc w:val="left"/>
            </w:pPr>
            <w:r/>
            <w:r>
              <w:rPr>
                <w:rFonts w:ascii="Calibri" w:hAnsi="Calibri"/>
                <w:b w:val="0"/>
                <w:color w:val="1A1A1A"/>
                <w:sz w:val="24"/>
              </w:rPr>
              <w:t>Reexportar</w:t>
            </w:r>
          </w:p>
        </w:tc>
      </w:tr>
      <w:tr>
        <w:trPr>
          <w:cantSplit/>
        </w:trPr>
        <w:tc>
          <w:tcPr>
            <w:tcW w:type="dxa" w:w="491"/>
          </w:tcPr>
          <w:p>
            <w:pPr>
              <w:spacing w:after="0"/>
              <w:jc w:val="left"/>
            </w:pPr>
            <w:r/>
            <w:r>
              <w:rPr>
                <w:rFonts w:ascii="Calibri" w:hAnsi="Calibri"/>
                <w:b w:val="0"/>
                <w:color w:val="1A1A1A"/>
                <w:sz w:val="24"/>
              </w:rPr>
              <w:t>05</w:t>
            </w:r>
          </w:p>
        </w:tc>
        <w:tc>
          <w:tcPr>
            <w:tcW w:type="dxa" w:w="2307"/>
          </w:tcPr>
          <w:p>
            <w:pPr>
              <w:spacing w:after="0"/>
              <w:jc w:val="left"/>
            </w:pPr>
            <w:r/>
            <w:r>
              <w:rPr>
                <w:rFonts w:ascii="Calibri" w:hAnsi="Calibri"/>
                <w:b w:val="0"/>
                <w:color w:val="1A1A1A"/>
                <w:sz w:val="24"/>
              </w:rPr>
              <w:t>Quatro pilares</w:t>
            </w:r>
          </w:p>
        </w:tc>
        <w:tc>
          <w:tcPr>
            <w:tcW w:type="dxa" w:w="2307"/>
          </w:tcPr>
          <w:p>
            <w:pPr>
              <w:spacing w:after="0"/>
              <w:jc w:val="left"/>
            </w:pPr>
            <w:r/>
            <w:r>
              <w:rPr>
                <w:rFonts w:ascii="Calibri" w:hAnsi="Calibri"/>
                <w:b w:val="0"/>
                <w:color w:val="1A1A1A"/>
                <w:sz w:val="24"/>
              </w:rPr>
              <w:t>Quatro pilares da prática segura</w:t>
            </w:r>
          </w:p>
        </w:tc>
        <w:tc>
          <w:tcPr>
            <w:tcW w:type="dxa" w:w="2437"/>
          </w:tcPr>
          <w:p>
            <w:pPr>
              <w:spacing w:after="0"/>
              <w:jc w:val="left"/>
            </w:pPr>
            <w:r/>
            <w:r>
              <w:rPr>
                <w:rFonts w:ascii="Calibri" w:hAnsi="Calibri"/>
                <w:b w:val="0"/>
                <w:color w:val="1A1A1A"/>
                <w:sz w:val="24"/>
              </w:rPr>
              <w:t>Planejamento, tecnologia, procedimentos e acompanhamento, cada um com sua exigência própria.</w:t>
            </w:r>
          </w:p>
        </w:tc>
        <w:tc>
          <w:tcPr>
            <w:tcW w:type="dxa" w:w="1529"/>
          </w:tcPr>
          <w:p>
            <w:pPr>
              <w:spacing w:after="0"/>
              <w:jc w:val="left"/>
            </w:pPr>
            <w:r/>
            <w:r>
              <w:rPr>
                <w:rFonts w:ascii="Calibri" w:hAnsi="Calibri"/>
                <w:b w:val="0"/>
                <w:color w:val="1A1A1A"/>
                <w:sz w:val="24"/>
              </w:rPr>
              <w:t>Reexportar</w:t>
            </w:r>
          </w:p>
        </w:tc>
      </w:tr>
      <w:tr>
        <w:trPr>
          <w:cantSplit/>
        </w:trPr>
        <w:tc>
          <w:tcPr>
            <w:tcW w:type="dxa" w:w="491"/>
            <w:shd w:val="clear" w:color="auto" w:fill="F2F5F8"/>
          </w:tcPr>
          <w:p>
            <w:pPr>
              <w:spacing w:after="0"/>
              <w:jc w:val="left"/>
            </w:pPr>
            <w:r/>
            <w:r>
              <w:rPr>
                <w:rFonts w:ascii="Calibri" w:hAnsi="Calibri"/>
                <w:b w:val="0"/>
                <w:color w:val="1A1A1A"/>
                <w:sz w:val="24"/>
              </w:rPr>
              <w:t>06</w:t>
            </w:r>
          </w:p>
        </w:tc>
        <w:tc>
          <w:tcPr>
            <w:tcW w:type="dxa" w:w="2307"/>
            <w:shd w:val="clear" w:color="auto" w:fill="F2F5F8"/>
          </w:tcPr>
          <w:p>
            <w:pPr>
              <w:spacing w:after="0"/>
              <w:jc w:val="left"/>
            </w:pPr>
            <w:r/>
            <w:r>
              <w:rPr>
                <w:rFonts w:ascii="Calibri" w:hAnsi="Calibri"/>
                <w:b w:val="0"/>
                <w:color w:val="1A1A1A"/>
                <w:sz w:val="24"/>
              </w:rPr>
              <w:t>Regularização</w:t>
            </w:r>
          </w:p>
        </w:tc>
        <w:tc>
          <w:tcPr>
            <w:tcW w:type="dxa" w:w="2307"/>
            <w:shd w:val="clear" w:color="auto" w:fill="F2F5F8"/>
          </w:tcPr>
          <w:p>
            <w:pPr>
              <w:spacing w:after="0"/>
              <w:jc w:val="left"/>
            </w:pPr>
            <w:r/>
            <w:r>
              <w:rPr>
                <w:rFonts w:ascii="Calibri" w:hAnsi="Calibri"/>
                <w:b w:val="0"/>
                <w:color w:val="1A1A1A"/>
                <w:sz w:val="24"/>
              </w:rPr>
              <w:t>Tecnologia é uma ferramenta. Conhecimento é o que garante a segurança.</w:t>
            </w:r>
          </w:p>
        </w:tc>
        <w:tc>
          <w:tcPr>
            <w:tcW w:type="dxa" w:w="2437"/>
            <w:shd w:val="clear" w:color="auto" w:fill="F2F5F8"/>
          </w:tcPr>
          <w:p>
            <w:pPr>
              <w:spacing w:after="0"/>
              <w:jc w:val="left"/>
            </w:pPr>
            <w:r/>
            <w:r>
              <w:rPr>
                <w:rFonts w:ascii="Calibri" w:hAnsi="Calibri"/>
                <w:b w:val="0"/>
                <w:color w:val="1A1A1A"/>
                <w:sz w:val="24"/>
              </w:rPr>
              <w:t>Cinco verificações e a frase central da peça: regularizado não significa automaticamente indicado.</w:t>
            </w:r>
          </w:p>
        </w:tc>
        <w:tc>
          <w:tcPr>
            <w:tcW w:type="dxa" w:w="1529"/>
            <w:shd w:val="clear" w:color="auto" w:fill="F2F5F8"/>
          </w:tcPr>
          <w:p>
            <w:pPr>
              <w:spacing w:after="0"/>
              <w:jc w:val="left"/>
            </w:pPr>
            <w:r/>
            <w:r>
              <w:rPr>
                <w:rFonts w:ascii="Calibri" w:hAnsi="Calibri"/>
                <w:b w:val="0"/>
                <w:color w:val="1A1A1A"/>
                <w:sz w:val="24"/>
              </w:rPr>
              <w:t>Reexportar</w:t>
            </w:r>
          </w:p>
        </w:tc>
      </w:tr>
      <w:tr>
        <w:trPr>
          <w:cantSplit/>
        </w:trPr>
        <w:tc>
          <w:tcPr>
            <w:tcW w:type="dxa" w:w="491"/>
          </w:tcPr>
          <w:p>
            <w:pPr>
              <w:spacing w:after="0"/>
              <w:jc w:val="left"/>
            </w:pPr>
            <w:r/>
            <w:r>
              <w:rPr>
                <w:rFonts w:ascii="Calibri" w:hAnsi="Calibri"/>
                <w:b w:val="0"/>
                <w:color w:val="1A1A1A"/>
                <w:sz w:val="24"/>
              </w:rPr>
              <w:t>07</w:t>
            </w:r>
          </w:p>
        </w:tc>
        <w:tc>
          <w:tcPr>
            <w:tcW w:type="dxa" w:w="2307"/>
          </w:tcPr>
          <w:p>
            <w:pPr>
              <w:spacing w:after="0"/>
              <w:jc w:val="left"/>
            </w:pPr>
            <w:r/>
            <w:r>
              <w:rPr>
                <w:rFonts w:ascii="Calibri" w:hAnsi="Calibri"/>
                <w:b w:val="0"/>
                <w:color w:val="1A1A1A"/>
                <w:sz w:val="24"/>
              </w:rPr>
              <w:t>Intercorrências</w:t>
            </w:r>
          </w:p>
        </w:tc>
        <w:tc>
          <w:tcPr>
            <w:tcW w:type="dxa" w:w="2307"/>
          </w:tcPr>
          <w:p>
            <w:pPr>
              <w:spacing w:after="0"/>
              <w:jc w:val="left"/>
            </w:pPr>
            <w:r/>
            <w:r>
              <w:rPr>
                <w:rFonts w:ascii="Calibri" w:hAnsi="Calibri"/>
                <w:b w:val="0"/>
                <w:color w:val="1A1A1A"/>
                <w:sz w:val="24"/>
              </w:rPr>
              <w:t>Intercorrências podem acontecer. Preparo salva.</w:t>
            </w:r>
          </w:p>
        </w:tc>
        <w:tc>
          <w:tcPr>
            <w:tcW w:type="dxa" w:w="2437"/>
          </w:tcPr>
          <w:p>
            <w:pPr>
              <w:spacing w:after="0"/>
              <w:jc w:val="left"/>
            </w:pPr>
            <w:r/>
            <w:r>
              <w:rPr>
                <w:rFonts w:ascii="Calibri" w:hAnsi="Calibri"/>
                <w:b w:val="0"/>
                <w:color w:val="1A1A1A"/>
                <w:sz w:val="24"/>
              </w:rPr>
              <w:t>Reconhecer sinais precoces, atuar com protocolos validados, registrar cada passo, encaminhar quando necessário.</w:t>
            </w:r>
          </w:p>
        </w:tc>
        <w:tc>
          <w:tcPr>
            <w:tcW w:type="dxa" w:w="1529"/>
          </w:tcPr>
          <w:p>
            <w:pPr>
              <w:spacing w:after="0"/>
              <w:jc w:val="left"/>
            </w:pPr>
            <w:r/>
            <w:r>
              <w:rPr>
                <w:rFonts w:ascii="Calibri" w:hAnsi="Calibri"/>
                <w:b w:val="0"/>
                <w:color w:val="1A1A1A"/>
                <w:sz w:val="24"/>
              </w:rPr>
              <w:t>Reexportar</w:t>
            </w:r>
          </w:p>
        </w:tc>
      </w:tr>
      <w:tr>
        <w:trPr>
          <w:cantSplit/>
        </w:trPr>
        <w:tc>
          <w:tcPr>
            <w:tcW w:type="dxa" w:w="491"/>
            <w:shd w:val="clear" w:color="auto" w:fill="F2F5F8"/>
          </w:tcPr>
          <w:p>
            <w:pPr>
              <w:spacing w:after="0"/>
              <w:jc w:val="left"/>
            </w:pPr>
            <w:r/>
            <w:r>
              <w:rPr>
                <w:rFonts w:ascii="Calibri" w:hAnsi="Calibri"/>
                <w:b w:val="0"/>
                <w:color w:val="1A1A1A"/>
                <w:sz w:val="24"/>
              </w:rPr>
              <w:t>08</w:t>
            </w:r>
          </w:p>
        </w:tc>
        <w:tc>
          <w:tcPr>
            <w:tcW w:type="dxa" w:w="2307"/>
            <w:shd w:val="clear" w:color="auto" w:fill="F2F5F8"/>
          </w:tcPr>
          <w:p>
            <w:pPr>
              <w:spacing w:after="0"/>
              <w:jc w:val="left"/>
            </w:pPr>
            <w:r/>
            <w:r>
              <w:rPr>
                <w:rFonts w:ascii="Calibri" w:hAnsi="Calibri"/>
                <w:b w:val="0"/>
                <w:color w:val="1A1A1A"/>
                <w:sz w:val="24"/>
              </w:rPr>
              <w:t>Documentação</w:t>
            </w:r>
          </w:p>
        </w:tc>
        <w:tc>
          <w:tcPr>
            <w:tcW w:type="dxa" w:w="2307"/>
            <w:shd w:val="clear" w:color="auto" w:fill="F2F5F8"/>
          </w:tcPr>
          <w:p>
            <w:pPr>
              <w:spacing w:after="0"/>
              <w:jc w:val="left"/>
            </w:pPr>
            <w:r/>
            <w:r>
              <w:rPr>
                <w:rFonts w:ascii="Calibri" w:hAnsi="Calibri"/>
                <w:b w:val="0"/>
                <w:color w:val="1A1A1A"/>
                <w:sz w:val="24"/>
              </w:rPr>
              <w:t>Documentar é cuidar também.</w:t>
            </w:r>
          </w:p>
        </w:tc>
        <w:tc>
          <w:tcPr>
            <w:tcW w:type="dxa" w:w="2437"/>
            <w:shd w:val="clear" w:color="auto" w:fill="F2F5F8"/>
          </w:tcPr>
          <w:p>
            <w:pPr>
              <w:spacing w:after="0"/>
              <w:jc w:val="left"/>
            </w:pPr>
            <w:r/>
            <w:r>
              <w:rPr>
                <w:rFonts w:ascii="Calibri" w:hAnsi="Calibri"/>
                <w:b w:val="0"/>
                <w:color w:val="1A1A1A"/>
                <w:sz w:val="24"/>
              </w:rPr>
              <w:t>Imagens padronizadas, prontuário completo, termos assinados e proteção de dados.</w:t>
            </w:r>
          </w:p>
        </w:tc>
        <w:tc>
          <w:tcPr>
            <w:tcW w:type="dxa" w:w="1529"/>
            <w:shd w:val="clear" w:color="auto" w:fill="F2F5F8"/>
          </w:tcPr>
          <w:p>
            <w:pPr>
              <w:spacing w:after="0"/>
              <w:jc w:val="left"/>
            </w:pPr>
            <w:r/>
            <w:r>
              <w:rPr>
                <w:rFonts w:ascii="Calibri" w:hAnsi="Calibri"/>
                <w:b w:val="0"/>
                <w:color w:val="1A1A1A"/>
                <w:sz w:val="24"/>
              </w:rPr>
              <w:t>Reexportar</w:t>
            </w:r>
          </w:p>
        </w:tc>
      </w:tr>
      <w:tr>
        <w:trPr>
          <w:cantSplit/>
        </w:trPr>
        <w:tc>
          <w:tcPr>
            <w:tcW w:type="dxa" w:w="491"/>
          </w:tcPr>
          <w:p>
            <w:pPr>
              <w:spacing w:after="0"/>
              <w:jc w:val="left"/>
            </w:pPr>
            <w:r/>
            <w:r>
              <w:rPr>
                <w:rFonts w:ascii="Calibri" w:hAnsi="Calibri"/>
                <w:b w:val="0"/>
                <w:color w:val="1A1A1A"/>
                <w:sz w:val="24"/>
              </w:rPr>
              <w:t>09</w:t>
            </w:r>
          </w:p>
        </w:tc>
        <w:tc>
          <w:tcPr>
            <w:tcW w:type="dxa" w:w="2307"/>
          </w:tcPr>
          <w:p>
            <w:pPr>
              <w:spacing w:after="0"/>
              <w:jc w:val="left"/>
            </w:pPr>
            <w:r/>
            <w:r>
              <w:rPr>
                <w:rFonts w:ascii="Calibri" w:hAnsi="Calibri"/>
                <w:b w:val="0"/>
                <w:color w:val="1A1A1A"/>
                <w:sz w:val="24"/>
              </w:rPr>
              <w:t>Educação</w:t>
            </w:r>
          </w:p>
        </w:tc>
        <w:tc>
          <w:tcPr>
            <w:tcW w:type="dxa" w:w="2307"/>
          </w:tcPr>
          <w:p>
            <w:pPr>
              <w:spacing w:after="0"/>
              <w:jc w:val="left"/>
            </w:pPr>
            <w:r/>
            <w:r>
              <w:rPr>
                <w:rFonts w:ascii="Calibri" w:hAnsi="Calibri"/>
                <w:b w:val="0"/>
                <w:color w:val="1A1A1A"/>
                <w:sz w:val="24"/>
              </w:rPr>
              <w:t>Educação que transforma</w:t>
            </w:r>
          </w:p>
        </w:tc>
        <w:tc>
          <w:tcPr>
            <w:tcW w:type="dxa" w:w="2437"/>
          </w:tcPr>
          <w:p>
            <w:pPr>
              <w:spacing w:after="0"/>
              <w:jc w:val="left"/>
            </w:pPr>
            <w:r/>
            <w:r>
              <w:rPr>
                <w:rFonts w:ascii="Calibri" w:hAnsi="Calibri"/>
                <w:b w:val="0"/>
                <w:color w:val="1A1A1A"/>
                <w:sz w:val="24"/>
              </w:rPr>
              <w:t>Cursos e eventos técnicos, materiais práticos baseados em evidências, cultura de segurança e atualização contínua.</w:t>
            </w:r>
          </w:p>
        </w:tc>
        <w:tc>
          <w:tcPr>
            <w:tcW w:type="dxa" w:w="1529"/>
          </w:tcPr>
          <w:p>
            <w:pPr>
              <w:spacing w:after="0"/>
              <w:jc w:val="left"/>
            </w:pPr>
            <w:r/>
            <w:r>
              <w:rPr>
                <w:rFonts w:ascii="Calibri" w:hAnsi="Calibri"/>
                <w:b w:val="0"/>
                <w:color w:val="1A1A1A"/>
                <w:sz w:val="24"/>
              </w:rPr>
              <w:t>Pronto</w:t>
            </w:r>
          </w:p>
        </w:tc>
      </w:tr>
      <w:tr>
        <w:trPr>
          <w:cantSplit/>
        </w:trPr>
        <w:tc>
          <w:tcPr>
            <w:tcW w:type="dxa" w:w="491"/>
            <w:shd w:val="clear" w:color="auto" w:fill="F2F5F8"/>
          </w:tcPr>
          <w:p>
            <w:pPr>
              <w:spacing w:after="0"/>
              <w:jc w:val="left"/>
            </w:pPr>
            <w:r/>
            <w:r>
              <w:rPr>
                <w:rFonts w:ascii="Calibri" w:hAnsi="Calibri"/>
                <w:b w:val="0"/>
                <w:color w:val="1A1A1A"/>
                <w:sz w:val="24"/>
              </w:rPr>
              <w:t>10</w:t>
            </w:r>
          </w:p>
        </w:tc>
        <w:tc>
          <w:tcPr>
            <w:tcW w:type="dxa" w:w="2307"/>
            <w:shd w:val="clear" w:color="auto" w:fill="F2F5F8"/>
          </w:tcPr>
          <w:p>
            <w:pPr>
              <w:spacing w:after="0"/>
              <w:jc w:val="left"/>
            </w:pPr>
            <w:r/>
            <w:r>
              <w:rPr>
                <w:rFonts w:ascii="Calibri" w:hAnsi="Calibri"/>
                <w:b w:val="0"/>
                <w:color w:val="1A1A1A"/>
                <w:sz w:val="24"/>
              </w:rPr>
              <w:t>Responsabilidade</w:t>
            </w:r>
          </w:p>
        </w:tc>
        <w:tc>
          <w:tcPr>
            <w:tcW w:type="dxa" w:w="2307"/>
            <w:shd w:val="clear" w:color="auto" w:fill="F2F5F8"/>
          </w:tcPr>
          <w:p>
            <w:pPr>
              <w:spacing w:after="0"/>
              <w:jc w:val="left"/>
            </w:pPr>
            <w:r/>
            <w:r>
              <w:rPr>
                <w:rFonts w:ascii="Calibri" w:hAnsi="Calibri"/>
                <w:b w:val="0"/>
                <w:color w:val="1A1A1A"/>
                <w:sz w:val="24"/>
              </w:rPr>
              <w:t>Trabalhamos com responsabilidade</w:t>
            </w:r>
          </w:p>
        </w:tc>
        <w:tc>
          <w:tcPr>
            <w:tcW w:type="dxa" w:w="2437"/>
            <w:shd w:val="clear" w:color="auto" w:fill="F2F5F8"/>
          </w:tcPr>
          <w:p>
            <w:pPr>
              <w:spacing w:after="0"/>
              <w:jc w:val="left"/>
            </w:pPr>
            <w:r/>
            <w:r>
              <w:rPr>
                <w:rFonts w:ascii="Calibri" w:hAnsi="Calibri"/>
                <w:b w:val="0"/>
                <w:color w:val="1A1A1A"/>
                <w:sz w:val="24"/>
              </w:rPr>
              <w:t>Análises técnicas imparciais, sem promoção de marcas ou interesses comerciais, com transparência e independência técnica.</w:t>
            </w:r>
          </w:p>
        </w:tc>
        <w:tc>
          <w:tcPr>
            <w:tcW w:type="dxa" w:w="1529"/>
            <w:shd w:val="clear" w:color="auto" w:fill="F2F5F8"/>
          </w:tcPr>
          <w:p>
            <w:pPr>
              <w:spacing w:after="0"/>
              <w:jc w:val="left"/>
            </w:pPr>
            <w:r/>
            <w:r>
              <w:rPr>
                <w:rFonts w:ascii="Calibri" w:hAnsi="Calibri"/>
                <w:b w:val="0"/>
                <w:color w:val="1A1A1A"/>
                <w:sz w:val="24"/>
              </w:rPr>
              <w:t>Pronto</w:t>
            </w:r>
          </w:p>
        </w:tc>
      </w:tr>
      <w:tr>
        <w:trPr>
          <w:cantSplit/>
        </w:trPr>
        <w:tc>
          <w:tcPr>
            <w:tcW w:type="dxa" w:w="491"/>
          </w:tcPr>
          <w:p>
            <w:pPr>
              <w:spacing w:after="0"/>
              <w:jc w:val="left"/>
            </w:pPr>
            <w:r/>
            <w:r>
              <w:rPr>
                <w:rFonts w:ascii="Calibri" w:hAnsi="Calibri"/>
                <w:b w:val="0"/>
                <w:color w:val="1A1A1A"/>
                <w:sz w:val="24"/>
              </w:rPr>
              <w:t>11</w:t>
            </w:r>
          </w:p>
        </w:tc>
        <w:tc>
          <w:tcPr>
            <w:tcW w:type="dxa" w:w="2307"/>
          </w:tcPr>
          <w:p>
            <w:pPr>
              <w:spacing w:after="0"/>
              <w:jc w:val="left"/>
            </w:pPr>
            <w:r/>
            <w:r>
              <w:rPr>
                <w:rFonts w:ascii="Calibri" w:hAnsi="Calibri"/>
                <w:b w:val="0"/>
                <w:color w:val="1A1A1A"/>
                <w:sz w:val="24"/>
              </w:rPr>
              <w:t>Futuro</w:t>
            </w:r>
          </w:p>
        </w:tc>
        <w:tc>
          <w:tcPr>
            <w:tcW w:type="dxa" w:w="2307"/>
          </w:tcPr>
          <w:p>
            <w:pPr>
              <w:spacing w:after="0"/>
              <w:jc w:val="left"/>
            </w:pPr>
            <w:r/>
            <w:r>
              <w:rPr>
                <w:rFonts w:ascii="Calibri" w:hAnsi="Calibri"/>
                <w:b w:val="0"/>
                <w:color w:val="1A1A1A"/>
                <w:sz w:val="24"/>
              </w:rPr>
              <w:t>Rumo ao futuro da HOF</w:t>
            </w:r>
          </w:p>
        </w:tc>
        <w:tc>
          <w:tcPr>
            <w:tcW w:type="dxa" w:w="2437"/>
          </w:tcPr>
          <w:p>
            <w:pPr>
              <w:spacing w:after="0"/>
              <w:jc w:val="left"/>
            </w:pPr>
            <w:r/>
            <w:r>
              <w:rPr>
                <w:rFonts w:ascii="Calibri" w:hAnsi="Calibri"/>
                <w:b w:val="0"/>
                <w:color w:val="1A1A1A"/>
                <w:sz w:val="24"/>
              </w:rPr>
              <w:t>Novas tecnologias com avaliação contínua, protocolos que evoluem com a ciência e integração com pesquisa e prática clínica.</w:t>
            </w:r>
          </w:p>
        </w:tc>
        <w:tc>
          <w:tcPr>
            <w:tcW w:type="dxa" w:w="1529"/>
          </w:tcPr>
          <w:p>
            <w:pPr>
              <w:spacing w:after="0"/>
              <w:jc w:val="left"/>
            </w:pPr>
            <w:r/>
            <w:r>
              <w:rPr>
                <w:rFonts w:ascii="Calibri" w:hAnsi="Calibri"/>
                <w:b w:val="0"/>
                <w:color w:val="1A1A1A"/>
                <w:sz w:val="24"/>
              </w:rPr>
              <w:t>Pronto</w:t>
            </w:r>
          </w:p>
        </w:tc>
      </w:tr>
      <w:tr>
        <w:trPr>
          <w:cantSplit/>
        </w:trPr>
        <w:tc>
          <w:tcPr>
            <w:tcW w:type="dxa" w:w="491"/>
            <w:shd w:val="clear" w:color="auto" w:fill="F2F5F8"/>
          </w:tcPr>
          <w:p>
            <w:pPr>
              <w:spacing w:after="0"/>
              <w:jc w:val="left"/>
            </w:pPr>
            <w:r/>
            <w:r>
              <w:rPr>
                <w:rFonts w:ascii="Calibri" w:hAnsi="Calibri"/>
                <w:b w:val="0"/>
                <w:color w:val="1A1A1A"/>
                <w:sz w:val="24"/>
              </w:rPr>
              <w:t>12</w:t>
            </w:r>
          </w:p>
        </w:tc>
        <w:tc>
          <w:tcPr>
            <w:tcW w:type="dxa" w:w="2307"/>
            <w:shd w:val="clear" w:color="auto" w:fill="F2F5F8"/>
          </w:tcPr>
          <w:p>
            <w:pPr>
              <w:spacing w:after="0"/>
              <w:jc w:val="left"/>
            </w:pPr>
            <w:r/>
            <w:r>
              <w:rPr>
                <w:rFonts w:ascii="Calibri" w:hAnsi="Calibri"/>
                <w:b w:val="0"/>
                <w:color w:val="1A1A1A"/>
                <w:sz w:val="24"/>
              </w:rPr>
              <w:t>Encerramento</w:t>
            </w:r>
          </w:p>
        </w:tc>
        <w:tc>
          <w:tcPr>
            <w:tcW w:type="dxa" w:w="2307"/>
            <w:shd w:val="clear" w:color="auto" w:fill="F2F5F8"/>
          </w:tcPr>
          <w:p>
            <w:pPr>
              <w:spacing w:after="0"/>
              <w:jc w:val="left"/>
            </w:pPr>
            <w:r/>
            <w:r>
              <w:rPr>
                <w:rFonts w:ascii="Calibri" w:hAnsi="Calibri"/>
                <w:b w:val="0"/>
                <w:color w:val="1A1A1A"/>
                <w:sz w:val="24"/>
              </w:rPr>
              <w:t>Juntos pela HOF Segura</w:t>
            </w:r>
          </w:p>
        </w:tc>
        <w:tc>
          <w:tcPr>
            <w:tcW w:type="dxa" w:w="2437"/>
            <w:shd w:val="clear" w:color="auto" w:fill="F2F5F8"/>
          </w:tcPr>
          <w:p>
            <w:pPr>
              <w:spacing w:after="0"/>
              <w:jc w:val="left"/>
            </w:pPr>
            <w:r/>
            <w:r>
              <w:rPr>
                <w:rFonts w:ascii="Calibri" w:hAnsi="Calibri"/>
                <w:b w:val="0"/>
                <w:color w:val="1A1A1A"/>
                <w:sz w:val="24"/>
              </w:rPr>
              <w:t>Tecnologia responsável. Decisão confiável. Paciente protegido.</w:t>
            </w:r>
          </w:p>
        </w:tc>
        <w:tc>
          <w:tcPr>
            <w:tcW w:type="dxa" w:w="1529"/>
            <w:shd w:val="clear" w:color="auto" w:fill="F2F5F8"/>
          </w:tcPr>
          <w:p>
            <w:pPr>
              <w:spacing w:after="0"/>
              <w:jc w:val="left"/>
            </w:pPr>
            <w:r/>
            <w:r>
              <w:rPr>
                <w:rFonts w:ascii="Calibri" w:hAnsi="Calibri"/>
                <w:b w:val="0"/>
                <w:color w:val="1A1A1A"/>
                <w:sz w:val="24"/>
              </w:rPr>
              <w:t>Pronto</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Por que esta ordem funciona</w:t>
            </w:r>
          </w:p>
          <w:p>
            <w:pPr>
              <w:spacing w:after="0"/>
              <w:jc w:val="both"/>
            </w:pPr>
            <w:r>
              <w:rPr>
                <w:rFonts w:ascii="Calibri" w:hAnsi="Calibri"/>
                <w:color w:val="1A1A1A"/>
                <w:sz w:val="24"/>
              </w:rPr>
              <w:t>Os cards 01 a 03 apresentam. Os cards 04 a 08 entregam conteúdo utilizável, e é neste bloco que está o valor real da peça. Os cards 09 a 12 fecham com compromisso institucional. Quem parar no card 06 já terá levado a informação mais útil da sequência, que é a distinção entre produto regularizado e uso indicado. Essa é a razão de ele estar no meio, e não no fim.</w:t>
            </w:r>
          </w:p>
        </w:tc>
      </w:tr>
    </w:tbl>
    <w:p>
      <w:pPr>
        <w:spacing w:after="80"/>
      </w:pPr>
    </w:p>
    <w:p>
      <w:r>
        <w:br w:type="page"/>
      </w:r>
    </w:p>
    <w:p>
      <w:pPr>
        <w:keepNext/>
        <w:spacing w:before="360" w:after="160"/>
        <w:jc w:val="left"/>
        <w:pBdr>
          <w:bottom w:val="single" w:sz="8" w:space="4" w:color="143C64"/>
        </w:pBdr>
      </w:pPr>
      <w:r>
        <w:rPr>
          <w:rFonts w:ascii="Calibri" w:hAnsi="Calibri"/>
          <w:b/>
          <w:color w:val="143C64"/>
          <w:sz w:val="30"/>
        </w:rPr>
        <w:t>3  Legenda da publicação</w:t>
      </w:r>
    </w:p>
    <w:p>
      <w:pPr>
        <w:spacing w:after="120"/>
        <w:jc w:val="both"/>
      </w:pPr>
      <w:r>
        <w:rPr>
          <w:rFonts w:ascii="Calibri" w:hAnsi="Calibri"/>
          <w:b w:val="0"/>
          <w:i w:val="0"/>
          <w:color w:val="1A1A1A"/>
          <w:sz w:val="24"/>
        </w:rPr>
        <w:t>Texto sugerido para a legenda. Adaptação editorial pela área de Comunicação.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748"/>
        <w:gridCol w:w="6324"/>
      </w:tblGrid>
      <w:tr>
        <w:trPr>
          <w:cantSplit/>
          <w:tblHeader/>
        </w:trPr>
        <w:tc>
          <w:tcPr>
            <w:tcW w:type="dxa" w:w="2748"/>
            <w:shd w:val="clear" w:color="auto" w:fill="143C64"/>
          </w:tcPr>
          <w:p>
            <w:pPr>
              <w:spacing w:after="0"/>
              <w:jc w:val="left"/>
            </w:pPr>
            <w:r/>
            <w:r>
              <w:rPr>
                <w:rFonts w:ascii="Calibri" w:hAnsi="Calibri"/>
                <w:b/>
                <w:color w:val="FFFFFF"/>
                <w:sz w:val="24"/>
              </w:rPr>
              <w:t>Bloco</w:t>
            </w:r>
          </w:p>
        </w:tc>
        <w:tc>
          <w:tcPr>
            <w:tcW w:type="dxa" w:w="6324"/>
            <w:shd w:val="clear" w:color="auto" w:fill="143C64"/>
          </w:tcPr>
          <w:p>
            <w:pPr>
              <w:spacing w:after="0"/>
              <w:jc w:val="left"/>
            </w:pPr>
            <w:r/>
            <w:r>
              <w:rPr>
                <w:rFonts w:ascii="Calibri" w:hAnsi="Calibri"/>
                <w:b/>
                <w:color w:val="FFFFFF"/>
                <w:sz w:val="24"/>
              </w:rPr>
              <w:t>Texto</w:t>
            </w:r>
          </w:p>
        </w:tc>
      </w:tr>
      <w:tr>
        <w:trPr>
          <w:cantSplit/>
        </w:trPr>
        <w:tc>
          <w:tcPr>
            <w:tcW w:type="dxa" w:w="2748"/>
          </w:tcPr>
          <w:p>
            <w:pPr>
              <w:spacing w:after="0"/>
              <w:jc w:val="left"/>
            </w:pPr>
            <w:r/>
            <w:r>
              <w:rPr>
                <w:rFonts w:ascii="Calibri" w:hAnsi="Calibri"/>
                <w:b/>
                <w:color w:val="1A1A1A"/>
                <w:sz w:val="24"/>
              </w:rPr>
              <w:t>Abertura</w:t>
            </w:r>
          </w:p>
        </w:tc>
        <w:tc>
          <w:tcPr>
            <w:tcW w:type="dxa" w:w="6324"/>
          </w:tcPr>
          <w:p>
            <w:pPr>
              <w:spacing w:after="0"/>
              <w:jc w:val="left"/>
            </w:pPr>
            <w:r/>
            <w:r>
              <w:rPr>
                <w:rFonts w:ascii="Calibri" w:hAnsi="Calibri"/>
                <w:b w:val="0"/>
                <w:color w:val="1A1A1A"/>
                <w:sz w:val="24"/>
              </w:rPr>
              <w:t>Incorporar tecnologia em Harmonização Orofacial exige mais do que entusiasmo.</w:t>
            </w:r>
          </w:p>
        </w:tc>
      </w:tr>
      <w:tr>
        <w:trPr>
          <w:cantSplit/>
        </w:trPr>
        <w:tc>
          <w:tcPr>
            <w:tcW w:type="dxa" w:w="2748"/>
            <w:shd w:val="clear" w:color="auto" w:fill="F2F5F8"/>
          </w:tcPr>
          <w:p>
            <w:pPr>
              <w:spacing w:after="0"/>
              <w:jc w:val="left"/>
            </w:pPr>
            <w:r/>
            <w:r>
              <w:rPr>
                <w:rFonts w:ascii="Calibri" w:hAnsi="Calibri"/>
                <w:b/>
                <w:color w:val="1A1A1A"/>
                <w:sz w:val="24"/>
              </w:rPr>
              <w:t>Corpo</w:t>
            </w:r>
          </w:p>
        </w:tc>
        <w:tc>
          <w:tcPr>
            <w:tcW w:type="dxa" w:w="6324"/>
            <w:shd w:val="clear" w:color="auto" w:fill="F2F5F8"/>
          </w:tcPr>
          <w:p>
            <w:pPr>
              <w:spacing w:after="0"/>
              <w:jc w:val="left"/>
            </w:pPr>
            <w:r/>
            <w:r>
              <w:rPr>
                <w:rFonts w:ascii="Calibri" w:hAnsi="Calibri"/>
                <w:b w:val="0"/>
                <w:color w:val="1A1A1A"/>
                <w:sz w:val="24"/>
              </w:rPr>
              <w:t>Exige verificar regularização e finalidade aprovada, avaliar evidência e limitações, garantir capacitação e estrutura, e registrar cada etapa. Segurança clínica não é consequência da sorte: é resultado de método aplicado com constância.</w:t>
            </w:r>
          </w:p>
          <w:p>
            <w:pPr>
              <w:spacing w:after="0"/>
              <w:jc w:val="left"/>
            </w:pPr>
            <w:r>
              <w:rPr>
                <w:rFonts w:ascii="Calibri" w:hAnsi="Calibri"/>
                <w:b w:val="0"/>
                <w:color w:val="1A1A1A"/>
                <w:sz w:val="24"/>
              </w:rPr>
              <w:t>A Câmara Técnica de Harmonização Orofacial do CRO-MG reúne, no Núcleo 5, o trabalho de transformar conhecimento técnico em instrumentos práticos para o dia a dia do consultório.</w:t>
            </w:r>
          </w:p>
        </w:tc>
      </w:tr>
      <w:tr>
        <w:trPr>
          <w:cantSplit/>
        </w:trPr>
        <w:tc>
          <w:tcPr>
            <w:tcW w:type="dxa" w:w="2748"/>
          </w:tcPr>
          <w:p>
            <w:pPr>
              <w:spacing w:after="0"/>
              <w:jc w:val="left"/>
            </w:pPr>
            <w:r/>
            <w:r>
              <w:rPr>
                <w:rFonts w:ascii="Calibri" w:hAnsi="Calibri"/>
                <w:b/>
                <w:color w:val="1A1A1A"/>
                <w:sz w:val="24"/>
              </w:rPr>
              <w:t>Encerramento obrigatório</w:t>
            </w:r>
          </w:p>
        </w:tc>
        <w:tc>
          <w:tcPr>
            <w:tcW w:type="dxa" w:w="6324"/>
          </w:tcPr>
          <w:p>
            <w:pPr>
              <w:spacing w:after="0"/>
              <w:jc w:val="left"/>
            </w:pPr>
            <w:r/>
            <w:r>
              <w:rPr>
                <w:rFonts w:ascii="Calibri" w:hAnsi="Calibri"/>
                <w:b w:val="0"/>
                <w:color w:val="1A1A1A"/>
                <w:sz w:val="24"/>
              </w:rPr>
              <w:t>Conteúdo técnico-institucional. Não substitui avaliação individual, normas vigentes, decisão clínica, parecer jurídico ou autoridade sanitária competente.</w:t>
            </w:r>
          </w:p>
        </w:tc>
      </w:tr>
    </w:tbl>
    <w:p>
      <w:pPr>
        <w:keepNext/>
        <w:spacing w:before="360" w:after="160"/>
        <w:jc w:val="left"/>
        <w:pBdr>
          <w:bottom w:val="single" w:sz="8" w:space="4" w:color="143C64"/>
        </w:pBdr>
      </w:pPr>
      <w:r>
        <w:rPr>
          <w:rFonts w:ascii="Calibri" w:hAnsi="Calibri"/>
          <w:b/>
          <w:color w:val="143C64"/>
          <w:sz w:val="30"/>
        </w:rPr>
        <w:t>4  Situação dos arquivos entregues</w:t>
      </w:r>
    </w:p>
    <w:p>
      <w:pPr>
        <w:spacing w:after="120"/>
        <w:jc w:val="both"/>
      </w:pPr>
      <w:r>
        <w:rPr>
          <w:rFonts w:ascii="Calibri" w:hAnsi="Calibri"/>
          <w:b w:val="0"/>
          <w:i w:val="0"/>
          <w:color w:val="1A1A1A"/>
          <w:sz w:val="24"/>
        </w:rPr>
        <w:t>Os arquivos acompanham este documento na pasta carrossel_HOF_Segura, separados por situação. A separação existe para que ninguém publique por engano um arquivo defeituoso.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12"/>
        <w:gridCol w:w="2816"/>
        <w:gridCol w:w="2744"/>
      </w:tblGrid>
      <w:tr>
        <w:trPr>
          <w:cantSplit/>
          <w:tblHeader/>
        </w:trPr>
        <w:tc>
          <w:tcPr>
            <w:tcW w:type="dxa" w:w="3512"/>
            <w:shd w:val="clear" w:color="auto" w:fill="143C64"/>
          </w:tcPr>
          <w:p>
            <w:pPr>
              <w:spacing w:after="0"/>
              <w:jc w:val="left"/>
            </w:pPr>
            <w:r/>
            <w:r>
              <w:rPr>
                <w:rFonts w:ascii="Calibri" w:hAnsi="Calibri"/>
                <w:b/>
                <w:color w:val="FFFFFF"/>
                <w:sz w:val="24"/>
              </w:rPr>
              <w:t>Pasta</w:t>
            </w:r>
          </w:p>
        </w:tc>
        <w:tc>
          <w:tcPr>
            <w:tcW w:type="dxa" w:w="2816"/>
            <w:shd w:val="clear" w:color="auto" w:fill="143C64"/>
          </w:tcPr>
          <w:p>
            <w:pPr>
              <w:spacing w:after="0"/>
              <w:jc w:val="left"/>
            </w:pPr>
            <w:r/>
            <w:r>
              <w:rPr>
                <w:rFonts w:ascii="Calibri" w:hAnsi="Calibri"/>
                <w:b/>
                <w:color w:val="FFFFFF"/>
                <w:sz w:val="24"/>
              </w:rPr>
              <w:t>Conteúdo</w:t>
            </w:r>
          </w:p>
        </w:tc>
        <w:tc>
          <w:tcPr>
            <w:tcW w:type="dxa" w:w="2744"/>
            <w:shd w:val="clear" w:color="auto" w:fill="143C64"/>
          </w:tcPr>
          <w:p>
            <w:pPr>
              <w:spacing w:after="0"/>
              <w:jc w:val="left"/>
            </w:pPr>
            <w:r/>
            <w:r>
              <w:rPr>
                <w:rFonts w:ascii="Calibri" w:hAnsi="Calibri"/>
                <w:b/>
                <w:color w:val="FFFFFF"/>
                <w:sz w:val="24"/>
              </w:rPr>
              <w:t>O que fazer</w:t>
            </w:r>
          </w:p>
        </w:tc>
      </w:tr>
      <w:tr>
        <w:trPr>
          <w:cantSplit/>
        </w:trPr>
        <w:tc>
          <w:tcPr>
            <w:tcW w:type="dxa" w:w="3512"/>
          </w:tcPr>
          <w:p>
            <w:pPr>
              <w:spacing w:after="0"/>
              <w:jc w:val="left"/>
            </w:pPr>
            <w:r/>
            <w:r>
              <w:rPr>
                <w:rFonts w:ascii="Calibri" w:hAnsi="Calibri"/>
                <w:b/>
                <w:color w:val="1A1A1A"/>
                <w:sz w:val="24"/>
              </w:rPr>
              <w:t>01_prontos_para_publicar</w:t>
            </w:r>
          </w:p>
        </w:tc>
        <w:tc>
          <w:tcPr>
            <w:tcW w:type="dxa" w:w="2816"/>
          </w:tcPr>
          <w:p>
            <w:pPr>
              <w:spacing w:after="0"/>
              <w:jc w:val="left"/>
            </w:pPr>
            <w:r/>
            <w:r>
              <w:rPr>
                <w:rFonts w:ascii="Calibri" w:hAnsi="Calibri"/>
                <w:b w:val="0"/>
                <w:color w:val="1A1A1A"/>
                <w:sz w:val="24"/>
              </w:rPr>
              <w:t>Cards 01, 09, 10, 11 e 12. Exportação nativa, 1080 por 1080, fundo escuro, assinatura da Câmara Técnica, sem artefato de recorte.</w:t>
            </w:r>
          </w:p>
        </w:tc>
        <w:tc>
          <w:tcPr>
            <w:tcW w:type="dxa" w:w="2744"/>
          </w:tcPr>
          <w:p>
            <w:pPr>
              <w:spacing w:after="0"/>
              <w:jc w:val="left"/>
            </w:pPr>
            <w:r/>
            <w:r>
              <w:rPr>
                <w:rFonts w:ascii="Calibri" w:hAnsi="Calibri"/>
                <w:b w:val="0"/>
                <w:color w:val="1A1A1A"/>
                <w:sz w:val="24"/>
              </w:rPr>
              <w:t>Podem ser publicados após validação institucional, na sequência da seção 2.</w:t>
            </w:r>
          </w:p>
        </w:tc>
      </w:tr>
      <w:tr>
        <w:trPr>
          <w:cantSplit/>
        </w:trPr>
        <w:tc>
          <w:tcPr>
            <w:tcW w:type="dxa" w:w="3512"/>
            <w:shd w:val="clear" w:color="auto" w:fill="F2F5F8"/>
          </w:tcPr>
          <w:p>
            <w:pPr>
              <w:spacing w:after="0"/>
              <w:jc w:val="left"/>
            </w:pPr>
            <w:r/>
            <w:r>
              <w:rPr>
                <w:rFonts w:ascii="Calibri" w:hAnsi="Calibri"/>
                <w:b/>
                <w:color w:val="1A1A1A"/>
                <w:sz w:val="24"/>
              </w:rPr>
              <w:t>02_reexportar</w:t>
            </w:r>
          </w:p>
        </w:tc>
        <w:tc>
          <w:tcPr>
            <w:tcW w:type="dxa" w:w="2816"/>
            <w:shd w:val="clear" w:color="auto" w:fill="F2F5F8"/>
          </w:tcPr>
          <w:p>
            <w:pPr>
              <w:spacing w:after="0"/>
              <w:jc w:val="left"/>
            </w:pPr>
            <w:r/>
            <w:r>
              <w:rPr>
                <w:rFonts w:ascii="Calibri" w:hAnsi="Calibri"/>
                <w:b w:val="0"/>
                <w:color w:val="1A1A1A"/>
                <w:sz w:val="24"/>
              </w:rPr>
              <w:t>Cards 02 a 08. O texto está correto e aprovado, mas os arquivos apresentam defeito de exportação.</w:t>
            </w:r>
          </w:p>
        </w:tc>
        <w:tc>
          <w:tcPr>
            <w:tcW w:type="dxa" w:w="2744"/>
            <w:shd w:val="clear" w:color="auto" w:fill="F2F5F8"/>
          </w:tcPr>
          <w:p>
            <w:pPr>
              <w:spacing w:after="0"/>
              <w:jc w:val="left"/>
            </w:pPr>
            <w:r/>
            <w:r>
              <w:rPr>
                <w:rFonts w:ascii="Calibri" w:hAnsi="Calibri"/>
                <w:b w:val="0"/>
                <w:color w:val="1A1A1A"/>
                <w:sz w:val="24"/>
              </w:rPr>
              <w:t>Servem como referência de conteúdo para a reexportação. Não publicar.</w:t>
            </w:r>
          </w:p>
        </w:tc>
      </w:tr>
      <w:tr>
        <w:trPr>
          <w:cantSplit/>
        </w:trPr>
        <w:tc>
          <w:tcPr>
            <w:tcW w:type="dxa" w:w="3512"/>
          </w:tcPr>
          <w:p>
            <w:pPr>
              <w:spacing w:after="0"/>
              <w:jc w:val="left"/>
            </w:pPr>
            <w:r/>
            <w:r>
              <w:rPr>
                <w:rFonts w:ascii="Calibri" w:hAnsi="Calibri"/>
                <w:b/>
                <w:color w:val="1A1A1A"/>
                <w:sz w:val="24"/>
              </w:rPr>
              <w:t>03_descartados</w:t>
            </w:r>
          </w:p>
        </w:tc>
        <w:tc>
          <w:tcPr>
            <w:tcW w:type="dxa" w:w="2816"/>
          </w:tcPr>
          <w:p>
            <w:pPr>
              <w:spacing w:after="0"/>
              <w:jc w:val="left"/>
            </w:pPr>
            <w:r/>
            <w:r>
              <w:rPr>
                <w:rFonts w:ascii="Calibri" w:hAnsi="Calibri"/>
                <w:b w:val="0"/>
                <w:color w:val="1A1A1A"/>
                <w:sz w:val="24"/>
              </w:rPr>
              <w:t>Três arquivos retirados da sequência por motivo de conformidade ou de substituição.</w:t>
            </w:r>
          </w:p>
        </w:tc>
        <w:tc>
          <w:tcPr>
            <w:tcW w:type="dxa" w:w="2744"/>
          </w:tcPr>
          <w:p>
            <w:pPr>
              <w:spacing w:after="0"/>
              <w:jc w:val="left"/>
            </w:pPr>
            <w:r/>
            <w:r>
              <w:rPr>
                <w:rFonts w:ascii="Calibri" w:hAnsi="Calibri"/>
                <w:b w:val="0"/>
                <w:color w:val="1A1A1A"/>
                <w:sz w:val="24"/>
              </w:rPr>
              <w:t>Não utilizar. Os motivos estão na seção 6.</w:t>
            </w:r>
          </w:p>
        </w:tc>
      </w:tr>
    </w:tbl>
    <w:p>
      <w:pPr>
        <w:keepNext/>
        <w:spacing w:before="360" w:after="160"/>
        <w:jc w:val="left"/>
        <w:pBdr>
          <w:bottom w:val="single" w:sz="8" w:space="4" w:color="143C64"/>
        </w:pBdr>
      </w:pPr>
      <w:r>
        <w:rPr>
          <w:rFonts w:ascii="Calibri" w:hAnsi="Calibri"/>
          <w:b/>
          <w:color w:val="143C64"/>
          <w:sz w:val="30"/>
        </w:rPr>
        <w:t>5  Defeitos identificados nos arquivos a reexportar</w:t>
      </w:r>
    </w:p>
    <w:p>
      <w:pPr>
        <w:spacing w:after="120"/>
        <w:jc w:val="both"/>
      </w:pPr>
      <w:r>
        <w:rPr>
          <w:rFonts w:ascii="Calibri" w:hAnsi="Calibri"/>
          <w:b w:val="0"/>
          <w:i w:val="0"/>
          <w:color w:val="1A1A1A"/>
          <w:sz w:val="24"/>
        </w:rPr>
        <w:t>A verificação foi feita por medição de luminância nas faixas superior e inferior de cada arquivo, comparadas ao corpo da imagem, e confirmada por inspeção visual.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129"/>
        <w:gridCol w:w="4150"/>
        <w:gridCol w:w="3792"/>
      </w:tblGrid>
      <w:tr>
        <w:trPr>
          <w:cantSplit/>
          <w:tblHeader/>
        </w:trPr>
        <w:tc>
          <w:tcPr>
            <w:tcW w:type="dxa" w:w="1129"/>
            <w:shd w:val="clear" w:color="auto" w:fill="143C64"/>
          </w:tcPr>
          <w:p>
            <w:pPr>
              <w:spacing w:after="0"/>
              <w:jc w:val="left"/>
            </w:pPr>
            <w:r/>
            <w:r>
              <w:rPr>
                <w:rFonts w:ascii="Calibri" w:hAnsi="Calibri"/>
                <w:b/>
                <w:color w:val="FFFFFF"/>
                <w:sz w:val="24"/>
              </w:rPr>
              <w:t>Card</w:t>
            </w:r>
          </w:p>
        </w:tc>
        <w:tc>
          <w:tcPr>
            <w:tcW w:type="dxa" w:w="4150"/>
            <w:shd w:val="clear" w:color="auto" w:fill="143C64"/>
          </w:tcPr>
          <w:p>
            <w:pPr>
              <w:spacing w:after="0"/>
              <w:jc w:val="left"/>
            </w:pPr>
            <w:r/>
            <w:r>
              <w:rPr>
                <w:rFonts w:ascii="Calibri" w:hAnsi="Calibri"/>
                <w:b/>
                <w:color w:val="FFFFFF"/>
                <w:sz w:val="24"/>
              </w:rPr>
              <w:t>Defeito</w:t>
            </w:r>
          </w:p>
        </w:tc>
        <w:tc>
          <w:tcPr>
            <w:tcW w:type="dxa" w:w="3792"/>
            <w:shd w:val="clear" w:color="auto" w:fill="143C64"/>
          </w:tcPr>
          <w:p>
            <w:pPr>
              <w:spacing w:after="0"/>
              <w:jc w:val="left"/>
            </w:pPr>
            <w:r/>
            <w:r>
              <w:rPr>
                <w:rFonts w:ascii="Calibri" w:hAnsi="Calibri"/>
                <w:b/>
                <w:color w:val="FFFFFF"/>
                <w:sz w:val="24"/>
              </w:rPr>
              <w:t>Consequência</w:t>
            </w:r>
          </w:p>
        </w:tc>
      </w:tr>
      <w:tr>
        <w:trPr>
          <w:cantSplit/>
        </w:trPr>
        <w:tc>
          <w:tcPr>
            <w:tcW w:type="dxa" w:w="1129"/>
          </w:tcPr>
          <w:p>
            <w:pPr>
              <w:spacing w:after="0"/>
              <w:jc w:val="left"/>
            </w:pPr>
            <w:r/>
            <w:r>
              <w:rPr>
                <w:rFonts w:ascii="Calibri" w:hAnsi="Calibri"/>
                <w:b/>
                <w:color w:val="1A1A1A"/>
                <w:sz w:val="24"/>
              </w:rPr>
              <w:t>02</w:t>
            </w:r>
          </w:p>
        </w:tc>
        <w:tc>
          <w:tcPr>
            <w:tcW w:type="dxa" w:w="4150"/>
          </w:tcPr>
          <w:p>
            <w:pPr>
              <w:spacing w:after="0"/>
              <w:jc w:val="left"/>
            </w:pPr>
            <w:r/>
            <w:r>
              <w:rPr>
                <w:rFonts w:ascii="Calibri" w:hAnsi="Calibri"/>
                <w:b w:val="0"/>
                <w:color w:val="1A1A1A"/>
                <w:sz w:val="24"/>
              </w:rPr>
              <w:t>Faixa clara de slide vizinho no topo e na lateral. Rodapé e numeração cortados na base.</w:t>
            </w:r>
          </w:p>
        </w:tc>
        <w:tc>
          <w:tcPr>
            <w:tcW w:type="dxa" w:w="3792"/>
          </w:tcPr>
          <w:p>
            <w:pPr>
              <w:spacing w:after="0"/>
              <w:jc w:val="left"/>
            </w:pPr>
            <w:r/>
            <w:r>
              <w:rPr>
                <w:rFonts w:ascii="Calibri" w:hAnsi="Calibri"/>
                <w:b w:val="0"/>
                <w:color w:val="1A1A1A"/>
                <w:sz w:val="24"/>
              </w:rPr>
              <w:t>Publicação com moldura indevida e assinatura institucional incompleta.</w:t>
            </w:r>
          </w:p>
        </w:tc>
      </w:tr>
      <w:tr>
        <w:trPr>
          <w:cantSplit/>
        </w:trPr>
        <w:tc>
          <w:tcPr>
            <w:tcW w:type="dxa" w:w="1129"/>
            <w:shd w:val="clear" w:color="auto" w:fill="F2F5F8"/>
          </w:tcPr>
          <w:p>
            <w:pPr>
              <w:spacing w:after="0"/>
              <w:jc w:val="left"/>
            </w:pPr>
            <w:r/>
            <w:r>
              <w:rPr>
                <w:rFonts w:ascii="Calibri" w:hAnsi="Calibri"/>
                <w:b/>
                <w:color w:val="1A1A1A"/>
                <w:sz w:val="24"/>
              </w:rPr>
              <w:t>03</w:t>
            </w:r>
          </w:p>
        </w:tc>
        <w:tc>
          <w:tcPr>
            <w:tcW w:type="dxa" w:w="4150"/>
            <w:shd w:val="clear" w:color="auto" w:fill="F2F5F8"/>
          </w:tcPr>
          <w:p>
            <w:pPr>
              <w:spacing w:after="0"/>
              <w:jc w:val="left"/>
            </w:pPr>
            <w:r/>
            <w:r>
              <w:rPr>
                <w:rFonts w:ascii="Calibri" w:hAnsi="Calibri"/>
                <w:b w:val="0"/>
                <w:color w:val="1A1A1A"/>
                <w:sz w:val="24"/>
              </w:rPr>
              <w:t>Faixa clara no topo.</w:t>
            </w:r>
          </w:p>
        </w:tc>
        <w:tc>
          <w:tcPr>
            <w:tcW w:type="dxa" w:w="3792"/>
            <w:shd w:val="clear" w:color="auto" w:fill="F2F5F8"/>
          </w:tcPr>
          <w:p>
            <w:pPr>
              <w:spacing w:after="0"/>
              <w:jc w:val="left"/>
            </w:pPr>
            <w:r/>
            <w:r>
              <w:rPr>
                <w:rFonts w:ascii="Calibri" w:hAnsi="Calibri"/>
                <w:b w:val="0"/>
                <w:color w:val="1A1A1A"/>
                <w:sz w:val="24"/>
              </w:rPr>
              <w:t>Mesmo efeito, em menor grau.</w:t>
            </w:r>
          </w:p>
        </w:tc>
      </w:tr>
      <w:tr>
        <w:trPr>
          <w:cantSplit/>
        </w:trPr>
        <w:tc>
          <w:tcPr>
            <w:tcW w:type="dxa" w:w="1129"/>
          </w:tcPr>
          <w:p>
            <w:pPr>
              <w:spacing w:after="0"/>
              <w:jc w:val="left"/>
            </w:pPr>
            <w:r/>
            <w:r>
              <w:rPr>
                <w:rFonts w:ascii="Calibri" w:hAnsi="Calibri"/>
                <w:b/>
                <w:color w:val="1A1A1A"/>
                <w:sz w:val="24"/>
              </w:rPr>
              <w:t>04</w:t>
            </w:r>
          </w:p>
        </w:tc>
        <w:tc>
          <w:tcPr>
            <w:tcW w:type="dxa" w:w="4150"/>
          </w:tcPr>
          <w:p>
            <w:pPr>
              <w:spacing w:after="0"/>
              <w:jc w:val="left"/>
            </w:pPr>
            <w:r/>
            <w:r>
              <w:rPr>
                <w:rFonts w:ascii="Calibri" w:hAnsi="Calibri"/>
                <w:b w:val="0"/>
                <w:color w:val="1A1A1A"/>
                <w:sz w:val="24"/>
              </w:rPr>
              <w:t>Fundo claro, divergente da identidade escura dos demais cards.</w:t>
            </w:r>
          </w:p>
        </w:tc>
        <w:tc>
          <w:tcPr>
            <w:tcW w:type="dxa" w:w="3792"/>
          </w:tcPr>
          <w:p>
            <w:pPr>
              <w:spacing w:after="0"/>
              <w:jc w:val="left"/>
            </w:pPr>
            <w:r/>
            <w:r>
              <w:rPr>
                <w:rFonts w:ascii="Calibri" w:hAnsi="Calibri"/>
                <w:b w:val="0"/>
                <w:color w:val="1A1A1A"/>
                <w:sz w:val="24"/>
              </w:rPr>
              <w:t>Quebra a unidade visual da sequência.</w:t>
            </w:r>
          </w:p>
        </w:tc>
      </w:tr>
      <w:tr>
        <w:trPr>
          <w:cantSplit/>
        </w:trPr>
        <w:tc>
          <w:tcPr>
            <w:tcW w:type="dxa" w:w="1129"/>
            <w:shd w:val="clear" w:color="auto" w:fill="F2F5F8"/>
          </w:tcPr>
          <w:p>
            <w:pPr>
              <w:spacing w:after="0"/>
              <w:jc w:val="left"/>
            </w:pPr>
            <w:r/>
            <w:r>
              <w:rPr>
                <w:rFonts w:ascii="Calibri" w:hAnsi="Calibri"/>
                <w:b/>
                <w:color w:val="1A1A1A"/>
                <w:sz w:val="24"/>
              </w:rPr>
              <w:t>05</w:t>
            </w:r>
          </w:p>
        </w:tc>
        <w:tc>
          <w:tcPr>
            <w:tcW w:type="dxa" w:w="4150"/>
            <w:shd w:val="clear" w:color="auto" w:fill="F2F5F8"/>
          </w:tcPr>
          <w:p>
            <w:pPr>
              <w:spacing w:after="0"/>
              <w:jc w:val="left"/>
            </w:pPr>
            <w:r/>
            <w:r>
              <w:rPr>
                <w:rFonts w:ascii="Calibri" w:hAnsi="Calibri"/>
                <w:b w:val="0"/>
                <w:color w:val="1A1A1A"/>
                <w:sz w:val="24"/>
              </w:rPr>
              <w:t>Faixa escura no topo e fundo claro.</w:t>
            </w:r>
          </w:p>
        </w:tc>
        <w:tc>
          <w:tcPr>
            <w:tcW w:type="dxa" w:w="3792"/>
            <w:shd w:val="clear" w:color="auto" w:fill="F2F5F8"/>
          </w:tcPr>
          <w:p>
            <w:pPr>
              <w:spacing w:after="0"/>
              <w:jc w:val="left"/>
            </w:pPr>
            <w:r/>
            <w:r>
              <w:rPr>
                <w:rFonts w:ascii="Calibri" w:hAnsi="Calibri"/>
                <w:b w:val="0"/>
                <w:color w:val="1A1A1A"/>
                <w:sz w:val="24"/>
              </w:rPr>
              <w:t>Artefato de recorte somado à divergência de fundo.</w:t>
            </w:r>
          </w:p>
        </w:tc>
      </w:tr>
      <w:tr>
        <w:trPr>
          <w:cantSplit/>
        </w:trPr>
        <w:tc>
          <w:tcPr>
            <w:tcW w:type="dxa" w:w="1129"/>
          </w:tcPr>
          <w:p>
            <w:pPr>
              <w:spacing w:after="0"/>
              <w:jc w:val="left"/>
            </w:pPr>
            <w:r/>
            <w:r>
              <w:rPr>
                <w:rFonts w:ascii="Calibri" w:hAnsi="Calibri"/>
                <w:b/>
                <w:color w:val="1A1A1A"/>
                <w:sz w:val="24"/>
              </w:rPr>
              <w:t>06</w:t>
            </w:r>
          </w:p>
        </w:tc>
        <w:tc>
          <w:tcPr>
            <w:tcW w:type="dxa" w:w="4150"/>
          </w:tcPr>
          <w:p>
            <w:pPr>
              <w:spacing w:after="0"/>
              <w:jc w:val="left"/>
            </w:pPr>
            <w:r/>
            <w:r>
              <w:rPr>
                <w:rFonts w:ascii="Calibri" w:hAnsi="Calibri"/>
                <w:b w:val="0"/>
                <w:color w:val="1A1A1A"/>
                <w:sz w:val="24"/>
              </w:rPr>
              <w:t>Faixa de slide vizinho no topo. Assinatura do CRO-MG ausente na base.</w:t>
            </w:r>
          </w:p>
        </w:tc>
        <w:tc>
          <w:tcPr>
            <w:tcW w:type="dxa" w:w="3792"/>
          </w:tcPr>
          <w:p>
            <w:pPr>
              <w:spacing w:after="0"/>
              <w:jc w:val="left"/>
            </w:pPr>
            <w:r/>
            <w:r>
              <w:rPr>
                <w:rFonts w:ascii="Calibri" w:hAnsi="Calibri"/>
                <w:b w:val="0"/>
                <w:color w:val="1A1A1A"/>
                <w:sz w:val="24"/>
              </w:rPr>
              <w:t>É o card de maior valor da peça e está sem a assinatura institucional.</w:t>
            </w:r>
          </w:p>
        </w:tc>
      </w:tr>
      <w:tr>
        <w:trPr>
          <w:cantSplit/>
        </w:trPr>
        <w:tc>
          <w:tcPr>
            <w:tcW w:type="dxa" w:w="1129"/>
            <w:shd w:val="clear" w:color="auto" w:fill="F2F5F8"/>
          </w:tcPr>
          <w:p>
            <w:pPr>
              <w:spacing w:after="0"/>
              <w:jc w:val="left"/>
            </w:pPr>
            <w:r/>
            <w:r>
              <w:rPr>
                <w:rFonts w:ascii="Calibri" w:hAnsi="Calibri"/>
                <w:b/>
                <w:color w:val="1A1A1A"/>
                <w:sz w:val="24"/>
              </w:rPr>
              <w:t>07</w:t>
            </w:r>
          </w:p>
        </w:tc>
        <w:tc>
          <w:tcPr>
            <w:tcW w:type="dxa" w:w="4150"/>
            <w:shd w:val="clear" w:color="auto" w:fill="F2F5F8"/>
          </w:tcPr>
          <w:p>
            <w:pPr>
              <w:spacing w:after="0"/>
              <w:jc w:val="left"/>
            </w:pPr>
            <w:r/>
            <w:r>
              <w:rPr>
                <w:rFonts w:ascii="Calibri" w:hAnsi="Calibri"/>
                <w:b w:val="0"/>
                <w:color w:val="1A1A1A"/>
                <w:sz w:val="24"/>
              </w:rPr>
              <w:t>Fundo claro e uso de vermelho fora da paleta institucional.</w:t>
            </w:r>
          </w:p>
        </w:tc>
        <w:tc>
          <w:tcPr>
            <w:tcW w:type="dxa" w:w="3792"/>
            <w:shd w:val="clear" w:color="auto" w:fill="F2F5F8"/>
          </w:tcPr>
          <w:p>
            <w:pPr>
              <w:spacing w:after="0"/>
              <w:jc w:val="left"/>
            </w:pPr>
            <w:r/>
            <w:r>
              <w:rPr>
                <w:rFonts w:ascii="Calibri" w:hAnsi="Calibri"/>
                <w:b w:val="0"/>
                <w:color w:val="1A1A1A"/>
                <w:sz w:val="24"/>
              </w:rPr>
              <w:t>Divergência de identidade em dois eixos.</w:t>
            </w:r>
          </w:p>
        </w:tc>
      </w:tr>
      <w:tr>
        <w:trPr>
          <w:cantSplit/>
        </w:trPr>
        <w:tc>
          <w:tcPr>
            <w:tcW w:type="dxa" w:w="1129"/>
          </w:tcPr>
          <w:p>
            <w:pPr>
              <w:spacing w:after="0"/>
              <w:jc w:val="left"/>
            </w:pPr>
            <w:r/>
            <w:r>
              <w:rPr>
                <w:rFonts w:ascii="Calibri" w:hAnsi="Calibri"/>
                <w:b/>
                <w:color w:val="1A1A1A"/>
                <w:sz w:val="24"/>
              </w:rPr>
              <w:t>08</w:t>
            </w:r>
          </w:p>
        </w:tc>
        <w:tc>
          <w:tcPr>
            <w:tcW w:type="dxa" w:w="4150"/>
          </w:tcPr>
          <w:p>
            <w:pPr>
              <w:spacing w:after="0"/>
              <w:jc w:val="left"/>
            </w:pPr>
            <w:r/>
            <w:r>
              <w:rPr>
                <w:rFonts w:ascii="Calibri" w:hAnsi="Calibri"/>
                <w:b w:val="0"/>
                <w:color w:val="1A1A1A"/>
                <w:sz w:val="24"/>
              </w:rPr>
              <w:t>Faixas estranhas no topo e na base.</w:t>
            </w:r>
          </w:p>
        </w:tc>
        <w:tc>
          <w:tcPr>
            <w:tcW w:type="dxa" w:w="3792"/>
          </w:tcPr>
          <w:p>
            <w:pPr>
              <w:spacing w:after="0"/>
              <w:jc w:val="left"/>
            </w:pPr>
            <w:r/>
            <w:r>
              <w:rPr>
                <w:rFonts w:ascii="Calibri" w:hAnsi="Calibri"/>
                <w:b w:val="0"/>
                <w:color w:val="1A1A1A"/>
                <w:sz w:val="24"/>
              </w:rPr>
              <w:t>Recorte desalinhado.</w:t>
            </w:r>
          </w:p>
        </w:tc>
      </w:tr>
    </w:tbl>
    <w:p>
      <w:r>
        <w:br w:type="page"/>
      </w:r>
    </w:p>
    <w:p>
      <w:pPr>
        <w:keepNext/>
        <w:spacing w:before="360" w:after="160"/>
        <w:jc w:val="left"/>
        <w:pBdr>
          <w:bottom w:val="single" w:sz="8" w:space="4" w:color="143C64"/>
        </w:pBdr>
      </w:pPr>
      <w:r>
        <w:rPr>
          <w:rFonts w:ascii="Calibri" w:hAnsi="Calibri"/>
          <w:b/>
          <w:color w:val="143C64"/>
          <w:sz w:val="30"/>
        </w:rPr>
        <w:t>6  Descartes e a razão de cada um</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972"/>
        <w:gridCol w:w="3151"/>
        <w:gridCol w:w="2948"/>
      </w:tblGrid>
      <w:tr>
        <w:trPr>
          <w:cantSplit/>
          <w:tblHeader/>
        </w:trPr>
        <w:tc>
          <w:tcPr>
            <w:tcW w:type="dxa" w:w="2972"/>
            <w:shd w:val="clear" w:color="auto" w:fill="143C64"/>
          </w:tcPr>
          <w:p>
            <w:pPr>
              <w:spacing w:after="0"/>
              <w:jc w:val="left"/>
            </w:pPr>
            <w:r/>
            <w:r>
              <w:rPr>
                <w:rFonts w:ascii="Calibri" w:hAnsi="Calibri"/>
                <w:b/>
                <w:color w:val="FFFFFF"/>
                <w:sz w:val="24"/>
              </w:rPr>
              <w:t>Arquivo descartado</w:t>
            </w:r>
          </w:p>
        </w:tc>
        <w:tc>
          <w:tcPr>
            <w:tcW w:type="dxa" w:w="3151"/>
            <w:shd w:val="clear" w:color="auto" w:fill="143C64"/>
          </w:tcPr>
          <w:p>
            <w:pPr>
              <w:spacing w:after="0"/>
              <w:jc w:val="left"/>
            </w:pPr>
            <w:r/>
            <w:r>
              <w:rPr>
                <w:rFonts w:ascii="Calibri" w:hAnsi="Calibri"/>
                <w:b/>
                <w:color w:val="FFFFFF"/>
                <w:sz w:val="24"/>
              </w:rPr>
              <w:t>Motivo</w:t>
            </w:r>
          </w:p>
        </w:tc>
        <w:tc>
          <w:tcPr>
            <w:tcW w:type="dxa" w:w="2948"/>
            <w:shd w:val="clear" w:color="auto" w:fill="143C64"/>
          </w:tcPr>
          <w:p>
            <w:pPr>
              <w:spacing w:after="0"/>
              <w:jc w:val="left"/>
            </w:pPr>
            <w:r/>
            <w:r>
              <w:rPr>
                <w:rFonts w:ascii="Calibri" w:hAnsi="Calibri"/>
                <w:b/>
                <w:color w:val="FFFFFF"/>
                <w:sz w:val="24"/>
              </w:rPr>
              <w:t>Substituído por</w:t>
            </w:r>
          </w:p>
        </w:tc>
      </w:tr>
      <w:tr>
        <w:trPr>
          <w:cantSplit/>
        </w:trPr>
        <w:tc>
          <w:tcPr>
            <w:tcW w:type="dxa" w:w="2972"/>
          </w:tcPr>
          <w:p>
            <w:pPr>
              <w:spacing w:after="0"/>
              <w:jc w:val="left"/>
            </w:pPr>
            <w:r/>
            <w:r>
              <w:rPr>
                <w:rFonts w:ascii="Calibri" w:hAnsi="Calibri"/>
                <w:b w:val="0"/>
                <w:color w:val="1A1A1A"/>
                <w:sz w:val="24"/>
              </w:rPr>
              <w:t>Card 09 da versão anterior, Ciência, ética e responsabilidade</w:t>
            </w:r>
          </w:p>
        </w:tc>
        <w:tc>
          <w:tcPr>
            <w:tcW w:type="dxa" w:w="3151"/>
          </w:tcPr>
          <w:p>
            <w:pPr>
              <w:spacing w:after="0"/>
              <w:jc w:val="left"/>
            </w:pPr>
            <w:r/>
            <w:r>
              <w:rPr>
                <w:rFonts w:ascii="Calibri" w:hAnsi="Calibri"/>
                <w:b w:val="0"/>
                <w:color w:val="1A1A1A"/>
                <w:sz w:val="24"/>
              </w:rPr>
              <w:t>Traz assinatura manuscrita individual em peça institucional. O conteúdo público é assinado pela Câmara Técnica, e não por pessoa. Além disso, assinatura manuscrita é dado pessoal e não deve circular em rede social.</w:t>
            </w:r>
          </w:p>
        </w:tc>
        <w:tc>
          <w:tcPr>
            <w:tcW w:type="dxa" w:w="2948"/>
          </w:tcPr>
          <w:p>
            <w:pPr>
              <w:spacing w:after="0"/>
              <w:jc w:val="left"/>
            </w:pPr>
            <w:r/>
            <w:r>
              <w:rPr>
                <w:rFonts w:ascii="Calibri" w:hAnsi="Calibri"/>
                <w:b w:val="0"/>
                <w:color w:val="1A1A1A"/>
                <w:sz w:val="24"/>
              </w:rPr>
              <w:t>Card 09, Educação que transforma.</w:t>
            </w:r>
          </w:p>
        </w:tc>
      </w:tr>
      <w:tr>
        <w:trPr>
          <w:cantSplit/>
        </w:trPr>
        <w:tc>
          <w:tcPr>
            <w:tcW w:type="dxa" w:w="2972"/>
            <w:shd w:val="clear" w:color="auto" w:fill="F2F5F8"/>
          </w:tcPr>
          <w:p>
            <w:pPr>
              <w:spacing w:after="0"/>
              <w:jc w:val="left"/>
            </w:pPr>
            <w:r/>
            <w:r>
              <w:rPr>
                <w:rFonts w:ascii="Calibri" w:hAnsi="Calibri"/>
                <w:b w:val="0"/>
                <w:color w:val="1A1A1A"/>
                <w:sz w:val="24"/>
              </w:rPr>
              <w:t>Card 10 da versão anterior, Conte com os materiais do Núcleo</w:t>
            </w:r>
          </w:p>
        </w:tc>
        <w:tc>
          <w:tcPr>
            <w:tcW w:type="dxa" w:w="3151"/>
            <w:shd w:val="clear" w:color="auto" w:fill="F2F5F8"/>
          </w:tcPr>
          <w:p>
            <w:pPr>
              <w:spacing w:after="0"/>
              <w:jc w:val="left"/>
            </w:pPr>
            <w:r/>
            <w:r>
              <w:rPr>
                <w:rFonts w:ascii="Calibri" w:hAnsi="Calibri"/>
                <w:b w:val="0"/>
                <w:color w:val="1A1A1A"/>
                <w:sz w:val="24"/>
              </w:rPr>
              <w:t>Traz código de resposta rápida e chamada para acesso pelo site do CRO-MG. O ambiente digital ainda é proposta, conforme o documento 16, e não existe. Publicar chamada para destino inexistente compromete a credibilidade da peça inteira.</w:t>
            </w:r>
          </w:p>
        </w:tc>
        <w:tc>
          <w:tcPr>
            <w:tcW w:type="dxa" w:w="2948"/>
            <w:shd w:val="clear" w:color="auto" w:fill="F2F5F8"/>
          </w:tcPr>
          <w:p>
            <w:pPr>
              <w:spacing w:after="0"/>
              <w:jc w:val="left"/>
            </w:pPr>
            <w:r/>
            <w:r>
              <w:rPr>
                <w:rFonts w:ascii="Calibri" w:hAnsi="Calibri"/>
                <w:b w:val="0"/>
                <w:color w:val="1A1A1A"/>
                <w:sz w:val="24"/>
              </w:rPr>
              <w:t>Card 10, Trabalhamos com responsabilidade.</w:t>
            </w:r>
          </w:p>
        </w:tc>
      </w:tr>
      <w:tr>
        <w:trPr>
          <w:cantSplit/>
        </w:trPr>
        <w:tc>
          <w:tcPr>
            <w:tcW w:type="dxa" w:w="2972"/>
          </w:tcPr>
          <w:p>
            <w:pPr>
              <w:spacing w:after="0"/>
              <w:jc w:val="left"/>
            </w:pPr>
            <w:r/>
            <w:r>
              <w:rPr>
                <w:rFonts w:ascii="Calibri" w:hAnsi="Calibri"/>
                <w:b w:val="0"/>
                <w:color w:val="1A1A1A"/>
                <w:sz w:val="24"/>
              </w:rPr>
              <w:t>Card 11 da versão anterior, HOF Segura é relação de confiança</w:t>
            </w:r>
          </w:p>
        </w:tc>
        <w:tc>
          <w:tcPr>
            <w:tcW w:type="dxa" w:w="3151"/>
          </w:tcPr>
          <w:p>
            <w:pPr>
              <w:spacing w:after="0"/>
              <w:jc w:val="left"/>
            </w:pPr>
            <w:r/>
            <w:r>
              <w:rPr>
                <w:rFonts w:ascii="Calibri" w:hAnsi="Calibri"/>
                <w:b w:val="0"/>
                <w:color w:val="1A1A1A"/>
                <w:sz w:val="24"/>
              </w:rPr>
              <w:t>Conteúdo válido, porém deslocado nesta sequência, que fecha com compromisso institucional. Não é descarte por defeito.</w:t>
            </w:r>
          </w:p>
        </w:tc>
        <w:tc>
          <w:tcPr>
            <w:tcW w:type="dxa" w:w="2948"/>
          </w:tcPr>
          <w:p>
            <w:pPr>
              <w:spacing w:after="0"/>
              <w:jc w:val="left"/>
            </w:pPr>
            <w:r/>
            <w:r>
              <w:rPr>
                <w:rFonts w:ascii="Calibri" w:hAnsi="Calibri"/>
                <w:b w:val="0"/>
                <w:color w:val="1A1A1A"/>
                <w:sz w:val="24"/>
              </w:rPr>
              <w:t>Card 11, Rumo ao futuro da HOF. O conteúdo pode ser aproveitado como publicação avulsa do eixo dirigido ao paciente.</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Sobre o card do código de resposta rápida</w:t>
            </w:r>
          </w:p>
          <w:p>
            <w:pPr>
              <w:spacing w:after="0"/>
              <w:jc w:val="both"/>
            </w:pPr>
            <w:r>
              <w:rPr>
                <w:rFonts w:ascii="Calibri" w:hAnsi="Calibri"/>
                <w:color w:val="1A1A1A"/>
                <w:sz w:val="24"/>
              </w:rPr>
              <w:t>Ele deve voltar à sequência assim que a fase 1 do documento 16 estiver publicada, com endereço definitivo. Nesse momento, ele é a peça que converte alcance em uso efetivo dos instrumentos. Publicá-lo antes disso produz o efeito contrário.</w:t>
            </w:r>
          </w:p>
        </w:tc>
      </w:tr>
    </w:tbl>
    <w:p>
      <w:pPr>
        <w:spacing w:after="80"/>
      </w:pPr>
    </w:p>
    <w:p>
      <w:pPr>
        <w:keepNext/>
        <w:spacing w:before="360" w:after="160"/>
        <w:jc w:val="left"/>
        <w:pBdr>
          <w:bottom w:val="single" w:sz="8" w:space="4" w:color="143C64"/>
        </w:pBdr>
      </w:pPr>
      <w:r>
        <w:rPr>
          <w:rFonts w:ascii="Calibri" w:hAnsi="Calibri"/>
          <w:b/>
          <w:color w:val="143C64"/>
          <w:sz w:val="30"/>
        </w:rPr>
        <w:t>7  Especificação para reexportação</w:t>
      </w:r>
    </w:p>
    <w:p>
      <w:pPr>
        <w:pStyle w:val="ListNumber"/>
        <w:spacing w:after="60"/>
        <w:ind w:left="397"/>
        <w:jc w:val="both"/>
      </w:pPr>
      <w:r>
        <w:rPr>
          <w:rFonts w:ascii="Calibri" w:hAnsi="Calibri"/>
          <w:color w:val="1A1A1A"/>
          <w:sz w:val="24"/>
        </w:rPr>
        <w:t>Exportar cada card individualmente a partir do arquivo de origem. Não recortar de mosaico ou de imagem de contato, que é a origem de todos os defeitos da seção 5.</w:t>
      </w:r>
    </w:p>
    <w:p>
      <w:pPr>
        <w:pStyle w:val="ListNumber"/>
        <w:spacing w:after="60"/>
        <w:ind w:left="397"/>
        <w:jc w:val="both"/>
      </w:pPr>
      <w:r>
        <w:rPr>
          <w:rFonts w:ascii="Calibri" w:hAnsi="Calibri"/>
          <w:color w:val="1A1A1A"/>
          <w:sz w:val="24"/>
        </w:rPr>
        <w:t>Formato quadrado, 1080 por 1080 pixels, PNG ou JPG de alta qualidade.</w:t>
      </w:r>
    </w:p>
    <w:p>
      <w:pPr>
        <w:pStyle w:val="ListNumber"/>
        <w:spacing w:after="60"/>
        <w:ind w:left="397"/>
        <w:jc w:val="both"/>
      </w:pPr>
      <w:r>
        <w:rPr>
          <w:rFonts w:ascii="Calibri" w:hAnsi="Calibri"/>
          <w:color w:val="1A1A1A"/>
          <w:sz w:val="24"/>
        </w:rPr>
        <w:t>Fundo escuro em todos os cards, mantendo a paleta institucional em preto, azul profundo e dourado. Sem vermelho.</w:t>
      </w:r>
    </w:p>
    <w:p>
      <w:pPr>
        <w:pStyle w:val="ListNumber"/>
        <w:spacing w:after="60"/>
        <w:ind w:left="397"/>
        <w:jc w:val="both"/>
      </w:pPr>
      <w:r>
        <w:rPr>
          <w:rFonts w:ascii="Calibri" w:hAnsi="Calibri"/>
          <w:color w:val="1A1A1A"/>
          <w:sz w:val="24"/>
        </w:rPr>
        <w:t>Etiqueta Núcleo 5 no canto superior esquerdo, com o mesmo tamanho e a mesma margem em todos os cards.</w:t>
      </w:r>
    </w:p>
    <w:p>
      <w:pPr>
        <w:pStyle w:val="ListNumber"/>
        <w:spacing w:after="60"/>
        <w:ind w:left="397"/>
        <w:jc w:val="both"/>
      </w:pPr>
      <w:r>
        <w:rPr>
          <w:rFonts w:ascii="Calibri" w:hAnsi="Calibri"/>
          <w:color w:val="1A1A1A"/>
          <w:sz w:val="24"/>
        </w:rPr>
        <w:t>Rodapé com a assinatura CRO-MG e a identificação da Câmara Técnica de Harmonização Orofacial, presente em todos os doze cards, sem corte.</w:t>
      </w:r>
    </w:p>
    <w:p>
      <w:pPr>
        <w:pStyle w:val="ListNumber"/>
        <w:spacing w:after="60"/>
        <w:ind w:left="397"/>
        <w:jc w:val="both"/>
      </w:pPr>
      <w:r>
        <w:rPr>
          <w:rFonts w:ascii="Calibri" w:hAnsi="Calibri"/>
          <w:color w:val="1A1A1A"/>
          <w:sz w:val="24"/>
        </w:rPr>
        <w:t>Numeração no canto inferior direito no formato dois dígitos barra doze, de 01 a 12.</w:t>
      </w:r>
    </w:p>
    <w:p>
      <w:pPr>
        <w:pStyle w:val="ListNumber"/>
        <w:spacing w:after="60"/>
        <w:ind w:left="397"/>
        <w:jc w:val="both"/>
      </w:pPr>
      <w:r>
        <w:rPr>
          <w:rFonts w:ascii="Calibri" w:hAnsi="Calibri"/>
          <w:color w:val="1A1A1A"/>
          <w:sz w:val="24"/>
        </w:rPr>
        <w:t>Área de segurança mínima de 60 pixels em todas as bordas, para que nada seja cortado na pré-visualização do aplicativo.</w:t>
      </w:r>
    </w:p>
    <w:p>
      <w:pPr>
        <w:pStyle w:val="ListNumber"/>
        <w:spacing w:after="60"/>
        <w:ind w:left="397"/>
        <w:jc w:val="both"/>
      </w:pPr>
      <w:r>
        <w:rPr>
          <w:rFonts w:ascii="Calibri" w:hAnsi="Calibri"/>
          <w:color w:val="1A1A1A"/>
          <w:sz w:val="24"/>
        </w:rPr>
        <w:t>Conferência final por inspeção das faixas superior e inferior de cada arquivo antes da entrega.</w:t>
      </w:r>
    </w:p>
    <w:p>
      <w:pPr>
        <w:keepNext/>
        <w:spacing w:before="360" w:after="160"/>
        <w:jc w:val="left"/>
        <w:pBdr>
          <w:bottom w:val="single" w:sz="8" w:space="4" w:color="143C64"/>
        </w:pBdr>
      </w:pPr>
      <w:r>
        <w:rPr>
          <w:rFonts w:ascii="Calibri" w:hAnsi="Calibri"/>
          <w:b/>
          <w:color w:val="143C64"/>
          <w:sz w:val="30"/>
        </w:rPr>
        <w:t>8  Checklist de conformidade da peça</w:t>
      </w:r>
    </w:p>
    <w:p>
      <w:pPr>
        <w:pStyle w:val="ListBullet"/>
        <w:spacing w:after="60"/>
        <w:ind w:left="397"/>
        <w:jc w:val="both"/>
      </w:pPr>
      <w:r>
        <w:rPr>
          <w:rFonts w:ascii="Calibri" w:hAnsi="Calibri"/>
          <w:color w:val="1A1A1A"/>
          <w:sz w:val="24"/>
        </w:rPr>
        <w:t>☐  Nenhuma marca, fabricante ou nome comercial de produto ou equipamento aparece nos cards ou na legenda.</w:t>
      </w:r>
    </w:p>
    <w:p>
      <w:pPr>
        <w:pStyle w:val="ListBullet"/>
        <w:spacing w:after="60"/>
        <w:ind w:left="397"/>
        <w:jc w:val="both"/>
      </w:pPr>
      <w:r>
        <w:rPr>
          <w:rFonts w:ascii="Calibri" w:hAnsi="Calibri"/>
          <w:color w:val="1A1A1A"/>
          <w:sz w:val="24"/>
        </w:rPr>
        <w:t>☐  Nenhuma imagem de antes e depois e nenhuma promessa de resultado.</w:t>
      </w:r>
    </w:p>
    <w:p>
      <w:pPr>
        <w:pStyle w:val="ListBullet"/>
        <w:spacing w:after="60"/>
        <w:ind w:left="397"/>
        <w:jc w:val="both"/>
      </w:pPr>
      <w:r>
        <w:rPr>
          <w:rFonts w:ascii="Calibri" w:hAnsi="Calibri"/>
          <w:color w:val="1A1A1A"/>
          <w:sz w:val="24"/>
        </w:rPr>
        <w:t>☐  Nenhuma prescrição de conduta clínica, dose, técnica ou parâmetro.</w:t>
      </w:r>
    </w:p>
    <w:p>
      <w:pPr>
        <w:pStyle w:val="ListBullet"/>
        <w:spacing w:after="60"/>
        <w:ind w:left="397"/>
        <w:jc w:val="both"/>
      </w:pPr>
      <w:r>
        <w:rPr>
          <w:rFonts w:ascii="Calibri" w:hAnsi="Calibri"/>
          <w:color w:val="1A1A1A"/>
          <w:sz w:val="24"/>
        </w:rPr>
        <w:t>☐  Nenhuma menção às controvérsias judiciais em curso.</w:t>
      </w:r>
    </w:p>
    <w:p>
      <w:pPr>
        <w:pStyle w:val="ListBullet"/>
        <w:spacing w:after="60"/>
        <w:ind w:left="397"/>
        <w:jc w:val="both"/>
      </w:pPr>
      <w:r>
        <w:rPr>
          <w:rFonts w:ascii="Calibri" w:hAnsi="Calibri"/>
          <w:color w:val="1A1A1A"/>
          <w:sz w:val="24"/>
        </w:rPr>
        <w:t>☐  Nenhuma linguagem superlativa do tipo padrão-ouro, garantido ou definitivo.</w:t>
      </w:r>
    </w:p>
    <w:p>
      <w:pPr>
        <w:pStyle w:val="ListBullet"/>
        <w:spacing w:after="60"/>
        <w:ind w:left="397"/>
        <w:jc w:val="both"/>
      </w:pPr>
      <w:r>
        <w:rPr>
          <w:rFonts w:ascii="Calibri" w:hAnsi="Calibri"/>
          <w:color w:val="1A1A1A"/>
          <w:sz w:val="24"/>
        </w:rPr>
        <w:t>☐  Nenhuma assinatura individual em peça institucional.</w:t>
      </w:r>
    </w:p>
    <w:p>
      <w:pPr>
        <w:pStyle w:val="ListBullet"/>
        <w:spacing w:after="60"/>
        <w:ind w:left="397"/>
        <w:jc w:val="both"/>
      </w:pPr>
      <w:r>
        <w:rPr>
          <w:rFonts w:ascii="Calibri" w:hAnsi="Calibri"/>
          <w:color w:val="1A1A1A"/>
          <w:sz w:val="24"/>
        </w:rPr>
        <w:t>☐  Nenhuma chamada para destino digital que ainda não exista.</w:t>
      </w:r>
    </w:p>
    <w:p>
      <w:pPr>
        <w:pStyle w:val="ListBullet"/>
        <w:spacing w:after="60"/>
        <w:ind w:left="397"/>
        <w:jc w:val="both"/>
      </w:pPr>
      <w:r>
        <w:rPr>
          <w:rFonts w:ascii="Calibri" w:hAnsi="Calibri"/>
          <w:color w:val="1A1A1A"/>
          <w:sz w:val="24"/>
        </w:rPr>
        <w:t>☐  Assinatura pública pela Câmara Técnica de Harmonização Orofacial do CRO-MG.</w:t>
      </w:r>
    </w:p>
    <w:p>
      <w:pPr>
        <w:pStyle w:val="ListBullet"/>
        <w:spacing w:after="60"/>
        <w:ind w:left="397"/>
        <w:jc w:val="both"/>
      </w:pPr>
      <w:r>
        <w:rPr>
          <w:rFonts w:ascii="Calibri" w:hAnsi="Calibri"/>
          <w:color w:val="1A1A1A"/>
          <w:sz w:val="24"/>
        </w:rPr>
        <w:t>☐  Legenda encerrada com a nota de natureza técnico-institucional.</w:t>
      </w:r>
    </w:p>
    <w:p>
      <w:pPr>
        <w:pStyle w:val="ListBullet"/>
        <w:spacing w:after="60"/>
        <w:ind w:left="397"/>
        <w:jc w:val="both"/>
      </w:pPr>
      <w:r>
        <w:rPr>
          <w:rFonts w:ascii="Calibri" w:hAnsi="Calibri"/>
          <w:color w:val="1A1A1A"/>
          <w:sz w:val="24"/>
        </w:rPr>
        <w:t>☐  Publicação somente após validação dos documentos que dão origem ao conteúdo.</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Relação com os demais documentos de comunicação</w:t>
            </w:r>
          </w:p>
          <w:p>
            <w:pPr>
              <w:spacing w:after="0"/>
              <w:jc w:val="both"/>
            </w:pPr>
            <w:r>
              <w:rPr>
                <w:rFonts w:ascii="Calibri" w:hAnsi="Calibri"/>
                <w:color w:val="1A1A1A"/>
                <w:sz w:val="24"/>
              </w:rPr>
              <w:t>O documento 15 permanece como pauta editorial de doze publicações. O documento 17 traz o carrossel anterior de dez cards e o roteiro de vídeo. Esta peça é a primeira produção institucional completa derivada daquela pauta e, na sequência de publicação, deve ocupar a posição de apresentação da frente de trabalho, antes das publicações temáticas.</w:t>
            </w:r>
          </w:p>
        </w:tc>
      </w:tr>
    </w:tbl>
    <w:p>
      <w:pPr>
        <w:spacing w:after="80"/>
      </w:pP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CT-HOF-CAR-01 · Carrossel Institucional HOF Segura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Câmara Técnica de HOF · CRO-MG | CT-HOF-CAR-01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