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PRODUTO DA META M12</w:t>
      </w:r>
    </w:p>
    <w:p>
      <w:pPr>
        <w:spacing w:after="160"/>
        <w:jc w:val="center"/>
      </w:pPr>
      <w:r>
        <w:rPr>
          <w:rFonts w:ascii="Calibri" w:hAnsi="Calibri"/>
          <w:b/>
          <w:color w:val="143C64"/>
          <w:sz w:val="48"/>
        </w:rPr>
        <w:t>Caderno de Atas e Controle de Reuniões</w:t>
      </w:r>
    </w:p>
    <w:p>
      <w:pPr>
        <w:spacing w:after="720"/>
        <w:jc w:val="center"/>
      </w:pPr>
      <w:r>
        <w:rPr>
          <w:rFonts w:ascii="Calibri" w:hAnsi="Calibri"/>
          <w:b w:val="0"/>
          <w:i w:val="0"/>
          <w:color w:val="444A52"/>
          <w:sz w:val="26"/>
        </w:rPr>
        <w:t>Modelo padronizado de ata, controle das seis reuniões exigidas no ciclo e pauta mínima por reunião, com vinculação a metas e deliberações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N5-ATA-01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Instrumento de preenchimento contínuo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Por que esta é a meta mais frágil do ciclo</w:t>
      </w:r>
    </w:p>
    <w:p>
      <w:pPr>
        <w:spacing w:after="120"/>
        <w:jc w:val="both"/>
      </w:pPr>
      <w:r>
        <w:rPr>
          <w:rFonts w:ascii="Calibri" w:hAnsi="Calibri"/>
          <w:b w:val="0"/>
          <w:i w:val="0"/>
          <w:color w:val="1A1A1A"/>
          <w:sz w:val="24"/>
        </w:rPr>
        <w:t>A M12 exige seis atas assinadas, com deliberações e encaminhamentos registrados. É a única meta do ciclo que não se recupera em dezembro: ata é registro de reunião que ocorreu em determinada data, e não documento que se produz retroativamente. Se uma reunião foi realizada e não foi registrada, a meta perde aquele mês de forma definitiva.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Consequência prática</w:t>
            </w:r>
          </w:p>
          <w:p>
            <w:pPr>
              <w:spacing w:after="0"/>
              <w:jc w:val="both"/>
            </w:pPr>
            <w:r>
              <w:rPr>
                <w:rFonts w:ascii="Calibri" w:hAnsi="Calibri"/>
                <w:color w:val="1A1A1A"/>
                <w:sz w:val="24"/>
              </w:rPr>
              <w:t>Toda reunião do Núcleo, inclusive a que já ocorreu, deve ter ata lavrada no modelo desta seção. Reuniões passadas realizadas sem ata devem ser registradas como ata de reunião ocorrida em data anterior, com a ressalva de lavratura posterior e com indicação de quem confirma o teor. Isso é diferente de inventar reunião, que seria irregularidade grave. Registrar tardiamente o que ocorreu é regularização; registrar o que não ocorreu não é.</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Controle das seis reuniões do ciclo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648"/>
        <w:gridCol w:w="1977"/>
        <w:gridCol w:w="1748"/>
        <w:gridCol w:w="877"/>
        <w:gridCol w:w="2230"/>
        <w:gridCol w:w="1591"/>
      </w:tblGrid>
      <w:tr>
        <w:trPr>
          <w:cantSplit/>
          <w:tblHeader/>
        </w:trPr>
        <w:tc>
          <w:tcPr>
            <w:tcW w:type="dxa" w:w="648"/>
            <w:shd w:val="clear" w:color="auto" w:fill="143C64"/>
          </w:tcPr>
          <w:p>
            <w:pPr>
              <w:spacing w:after="0"/>
              <w:jc w:val="left"/>
            </w:pPr>
            <w:r/>
            <w:r>
              <w:rPr>
                <w:rFonts w:ascii="Calibri" w:hAnsi="Calibri"/>
                <w:b/>
                <w:color w:val="FFFFFF"/>
                <w:sz w:val="24"/>
              </w:rPr>
              <w:t>Nº</w:t>
            </w:r>
          </w:p>
        </w:tc>
        <w:tc>
          <w:tcPr>
            <w:tcW w:type="dxa" w:w="1977"/>
            <w:shd w:val="clear" w:color="auto" w:fill="143C64"/>
          </w:tcPr>
          <w:p>
            <w:pPr>
              <w:spacing w:after="0"/>
              <w:jc w:val="left"/>
            </w:pPr>
            <w:r/>
            <w:r>
              <w:rPr>
                <w:rFonts w:ascii="Calibri" w:hAnsi="Calibri"/>
                <w:b/>
                <w:color w:val="FFFFFF"/>
                <w:sz w:val="24"/>
              </w:rPr>
              <w:t>Mês de referência</w:t>
            </w:r>
          </w:p>
        </w:tc>
        <w:tc>
          <w:tcPr>
            <w:tcW w:type="dxa" w:w="1748"/>
            <w:shd w:val="clear" w:color="auto" w:fill="143C64"/>
          </w:tcPr>
          <w:p>
            <w:pPr>
              <w:spacing w:after="0"/>
              <w:jc w:val="left"/>
            </w:pPr>
            <w:r/>
            <w:r>
              <w:rPr>
                <w:rFonts w:ascii="Calibri" w:hAnsi="Calibri"/>
                <w:b/>
                <w:color w:val="FFFFFF"/>
                <w:sz w:val="24"/>
              </w:rPr>
              <w:t>Data realizada</w:t>
            </w:r>
          </w:p>
        </w:tc>
        <w:tc>
          <w:tcPr>
            <w:tcW w:type="dxa" w:w="877"/>
            <w:shd w:val="clear" w:color="auto" w:fill="143C64"/>
          </w:tcPr>
          <w:p>
            <w:pPr>
              <w:spacing w:after="0"/>
              <w:jc w:val="left"/>
            </w:pPr>
            <w:r/>
            <w:r>
              <w:rPr>
                <w:rFonts w:ascii="Calibri" w:hAnsi="Calibri"/>
                <w:b/>
                <w:color w:val="FFFFFF"/>
                <w:sz w:val="24"/>
              </w:rPr>
              <w:t>Nº da ata</w:t>
            </w:r>
          </w:p>
        </w:tc>
        <w:tc>
          <w:tcPr>
            <w:tcW w:type="dxa" w:w="2230"/>
            <w:shd w:val="clear" w:color="auto" w:fill="143C64"/>
          </w:tcPr>
          <w:p>
            <w:pPr>
              <w:spacing w:after="0"/>
              <w:jc w:val="left"/>
            </w:pPr>
            <w:r/>
            <w:r>
              <w:rPr>
                <w:rFonts w:ascii="Calibri" w:hAnsi="Calibri"/>
                <w:b/>
                <w:color w:val="FFFFFF"/>
                <w:sz w:val="24"/>
              </w:rPr>
              <w:t>Metas tratadas</w:t>
            </w:r>
          </w:p>
        </w:tc>
        <w:tc>
          <w:tcPr>
            <w:tcW w:type="dxa" w:w="1591"/>
            <w:shd w:val="clear" w:color="auto" w:fill="143C64"/>
          </w:tcPr>
          <w:p>
            <w:pPr>
              <w:spacing w:after="0"/>
              <w:jc w:val="left"/>
            </w:pPr>
            <w:r/>
            <w:r>
              <w:rPr>
                <w:rFonts w:ascii="Calibri" w:hAnsi="Calibri"/>
                <w:b/>
                <w:color w:val="FFFFFF"/>
                <w:sz w:val="24"/>
              </w:rPr>
              <w:t>Situação</w:t>
            </w:r>
          </w:p>
        </w:tc>
      </w:tr>
      <w:tr>
        <w:trPr>
          <w:cantSplit/>
        </w:trPr>
        <w:tc>
          <w:tcPr>
            <w:tcW w:type="dxa" w:w="648"/>
          </w:tcPr>
          <w:p>
            <w:pPr>
              <w:spacing w:after="0"/>
              <w:jc w:val="left"/>
            </w:pPr>
            <w:r/>
            <w:r>
              <w:rPr>
                <w:rFonts w:ascii="Calibri" w:hAnsi="Calibri"/>
                <w:b/>
                <w:color w:val="1A1A1A"/>
                <w:sz w:val="24"/>
              </w:rPr>
              <w:t>1</w:t>
            </w:r>
          </w:p>
        </w:tc>
        <w:tc>
          <w:tcPr>
            <w:tcW w:type="dxa" w:w="1977"/>
          </w:tcPr>
          <w:p>
            <w:pPr>
              <w:spacing w:after="0"/>
              <w:jc w:val="left"/>
            </w:pPr>
            <w:r/>
            <w:r>
              <w:rPr>
                <w:rFonts w:ascii="Calibri" w:hAnsi="Calibri"/>
                <w:b w:val="0"/>
                <w:color w:val="1A1A1A"/>
                <w:sz w:val="24"/>
              </w:rPr>
              <w:t>Julho</w:t>
            </w:r>
          </w:p>
        </w:tc>
        <w:tc>
          <w:tcPr>
            <w:tcW w:type="dxa" w:w="1748"/>
          </w:tcPr>
          <w:p>
            <w:pPr>
              <w:spacing w:after="0"/>
              <w:jc w:val="left"/>
            </w:pPr>
            <w:r/>
            <w:r>
              <w:rPr>
                <w:rFonts w:ascii="Calibri" w:hAnsi="Calibri"/>
                <w:b w:val="0"/>
                <w:color w:val="1A1A1A"/>
                <w:sz w:val="24"/>
              </w:rPr>
              <w:t>___</w:t>
            </w:r>
          </w:p>
        </w:tc>
        <w:tc>
          <w:tcPr>
            <w:tcW w:type="dxa" w:w="877"/>
          </w:tcPr>
          <w:p>
            <w:pPr>
              <w:spacing w:after="0"/>
              <w:jc w:val="left"/>
            </w:pPr>
            <w:r/>
            <w:r>
              <w:rPr>
                <w:rFonts w:ascii="Calibri" w:hAnsi="Calibri"/>
                <w:b w:val="0"/>
                <w:color w:val="1A1A1A"/>
                <w:sz w:val="24"/>
              </w:rPr>
              <w:t>___</w:t>
            </w:r>
          </w:p>
        </w:tc>
        <w:tc>
          <w:tcPr>
            <w:tcW w:type="dxa" w:w="2230"/>
          </w:tcPr>
          <w:p>
            <w:pPr>
              <w:spacing w:after="0"/>
              <w:jc w:val="left"/>
            </w:pPr>
            <w:r/>
            <w:r>
              <w:rPr>
                <w:rFonts w:ascii="Calibri" w:hAnsi="Calibri"/>
                <w:b w:val="0"/>
                <w:color w:val="1A1A1A"/>
                <w:sz w:val="24"/>
              </w:rPr>
              <w:t>Instalação, M3</w:t>
            </w:r>
          </w:p>
        </w:tc>
        <w:tc>
          <w:tcPr>
            <w:tcW w:type="dxa" w:w="1591"/>
          </w:tcPr>
          <w:p>
            <w:pPr>
              <w:spacing w:after="0"/>
              <w:jc w:val="left"/>
            </w:pPr>
            <w:r/>
            <w:r>
              <w:rPr>
                <w:rFonts w:ascii="Calibri" w:hAnsi="Calibri"/>
                <w:b w:val="0"/>
                <w:color w:val="1A1A1A"/>
                <w:sz w:val="24"/>
              </w:rPr>
              <w:t>___</w:t>
            </w:r>
          </w:p>
        </w:tc>
      </w:tr>
      <w:tr>
        <w:trPr>
          <w:cantSplit/>
        </w:trPr>
        <w:tc>
          <w:tcPr>
            <w:tcW w:type="dxa" w:w="648"/>
            <w:shd w:val="clear" w:color="auto" w:fill="F2F5F8"/>
          </w:tcPr>
          <w:p>
            <w:pPr>
              <w:spacing w:after="0"/>
              <w:jc w:val="left"/>
            </w:pPr>
            <w:r/>
            <w:r>
              <w:rPr>
                <w:rFonts w:ascii="Calibri" w:hAnsi="Calibri"/>
                <w:b/>
                <w:color w:val="1A1A1A"/>
                <w:sz w:val="24"/>
              </w:rPr>
              <w:t>2</w:t>
            </w:r>
          </w:p>
        </w:tc>
        <w:tc>
          <w:tcPr>
            <w:tcW w:type="dxa" w:w="1977"/>
            <w:shd w:val="clear" w:color="auto" w:fill="F2F5F8"/>
          </w:tcPr>
          <w:p>
            <w:pPr>
              <w:spacing w:after="0"/>
              <w:jc w:val="left"/>
            </w:pPr>
            <w:r/>
            <w:r>
              <w:rPr>
                <w:rFonts w:ascii="Calibri" w:hAnsi="Calibri"/>
                <w:b w:val="0"/>
                <w:color w:val="1A1A1A"/>
                <w:sz w:val="24"/>
              </w:rPr>
              <w:t>Agosto</w:t>
            </w:r>
          </w:p>
        </w:tc>
        <w:tc>
          <w:tcPr>
            <w:tcW w:type="dxa" w:w="1748"/>
            <w:shd w:val="clear" w:color="auto" w:fill="F2F5F8"/>
          </w:tcPr>
          <w:p>
            <w:pPr>
              <w:spacing w:after="0"/>
              <w:jc w:val="left"/>
            </w:pPr>
            <w:r/>
            <w:r>
              <w:rPr>
                <w:rFonts w:ascii="Calibri" w:hAnsi="Calibri"/>
                <w:b w:val="0"/>
                <w:color w:val="1A1A1A"/>
                <w:sz w:val="24"/>
              </w:rPr>
              <w:t>___</w:t>
            </w:r>
          </w:p>
        </w:tc>
        <w:tc>
          <w:tcPr>
            <w:tcW w:type="dxa" w:w="877"/>
            <w:shd w:val="clear" w:color="auto" w:fill="F2F5F8"/>
          </w:tcPr>
          <w:p>
            <w:pPr>
              <w:spacing w:after="0"/>
              <w:jc w:val="left"/>
            </w:pPr>
            <w:r/>
            <w:r>
              <w:rPr>
                <w:rFonts w:ascii="Calibri" w:hAnsi="Calibri"/>
                <w:b w:val="0"/>
                <w:color w:val="1A1A1A"/>
                <w:sz w:val="24"/>
              </w:rPr>
              <w:t>___</w:t>
            </w:r>
          </w:p>
        </w:tc>
        <w:tc>
          <w:tcPr>
            <w:tcW w:type="dxa" w:w="2230"/>
            <w:shd w:val="clear" w:color="auto" w:fill="F2F5F8"/>
          </w:tcPr>
          <w:p>
            <w:pPr>
              <w:spacing w:after="0"/>
              <w:jc w:val="left"/>
            </w:pPr>
            <w:r/>
            <w:r>
              <w:rPr>
                <w:rFonts w:ascii="Calibri" w:hAnsi="Calibri"/>
                <w:b w:val="0"/>
                <w:color w:val="1A1A1A"/>
                <w:sz w:val="24"/>
              </w:rPr>
              <w:t>M1, M2, M3</w:t>
            </w:r>
          </w:p>
        </w:tc>
        <w:tc>
          <w:tcPr>
            <w:tcW w:type="dxa" w:w="1591"/>
            <w:shd w:val="clear" w:color="auto" w:fill="F2F5F8"/>
          </w:tcPr>
          <w:p>
            <w:pPr>
              <w:spacing w:after="0"/>
              <w:jc w:val="left"/>
            </w:pPr>
            <w:r/>
            <w:r>
              <w:rPr>
                <w:rFonts w:ascii="Calibri" w:hAnsi="Calibri"/>
                <w:b w:val="0"/>
                <w:color w:val="1A1A1A"/>
                <w:sz w:val="24"/>
              </w:rPr>
              <w:t>___</w:t>
            </w:r>
          </w:p>
        </w:tc>
      </w:tr>
      <w:tr>
        <w:trPr>
          <w:cantSplit/>
        </w:trPr>
        <w:tc>
          <w:tcPr>
            <w:tcW w:type="dxa" w:w="648"/>
          </w:tcPr>
          <w:p>
            <w:pPr>
              <w:spacing w:after="0"/>
              <w:jc w:val="left"/>
            </w:pPr>
            <w:r/>
            <w:r>
              <w:rPr>
                <w:rFonts w:ascii="Calibri" w:hAnsi="Calibri"/>
                <w:b/>
                <w:color w:val="1A1A1A"/>
                <w:sz w:val="24"/>
              </w:rPr>
              <w:t>3</w:t>
            </w:r>
          </w:p>
        </w:tc>
        <w:tc>
          <w:tcPr>
            <w:tcW w:type="dxa" w:w="1977"/>
          </w:tcPr>
          <w:p>
            <w:pPr>
              <w:spacing w:after="0"/>
              <w:jc w:val="left"/>
            </w:pPr>
            <w:r/>
            <w:r>
              <w:rPr>
                <w:rFonts w:ascii="Calibri" w:hAnsi="Calibri"/>
                <w:b w:val="0"/>
                <w:color w:val="1A1A1A"/>
                <w:sz w:val="24"/>
              </w:rPr>
              <w:t>Setembro</w:t>
            </w:r>
          </w:p>
        </w:tc>
        <w:tc>
          <w:tcPr>
            <w:tcW w:type="dxa" w:w="1748"/>
          </w:tcPr>
          <w:p>
            <w:pPr>
              <w:spacing w:after="0"/>
              <w:jc w:val="left"/>
            </w:pPr>
            <w:r/>
            <w:r>
              <w:rPr>
                <w:rFonts w:ascii="Calibri" w:hAnsi="Calibri"/>
                <w:b w:val="0"/>
                <w:color w:val="1A1A1A"/>
                <w:sz w:val="24"/>
              </w:rPr>
              <w:t>___</w:t>
            </w:r>
          </w:p>
        </w:tc>
        <w:tc>
          <w:tcPr>
            <w:tcW w:type="dxa" w:w="877"/>
          </w:tcPr>
          <w:p>
            <w:pPr>
              <w:spacing w:after="0"/>
              <w:jc w:val="left"/>
            </w:pPr>
            <w:r/>
            <w:r>
              <w:rPr>
                <w:rFonts w:ascii="Calibri" w:hAnsi="Calibri"/>
                <w:b w:val="0"/>
                <w:color w:val="1A1A1A"/>
                <w:sz w:val="24"/>
              </w:rPr>
              <w:t>___</w:t>
            </w:r>
          </w:p>
        </w:tc>
        <w:tc>
          <w:tcPr>
            <w:tcW w:type="dxa" w:w="2230"/>
          </w:tcPr>
          <w:p>
            <w:pPr>
              <w:spacing w:after="0"/>
              <w:jc w:val="left"/>
            </w:pPr>
            <w:r/>
            <w:r>
              <w:rPr>
                <w:rFonts w:ascii="Calibri" w:hAnsi="Calibri"/>
                <w:b w:val="0"/>
                <w:color w:val="1A1A1A"/>
                <w:sz w:val="24"/>
              </w:rPr>
              <w:t>M4, M5</w:t>
            </w:r>
          </w:p>
        </w:tc>
        <w:tc>
          <w:tcPr>
            <w:tcW w:type="dxa" w:w="1591"/>
          </w:tcPr>
          <w:p>
            <w:pPr>
              <w:spacing w:after="0"/>
              <w:jc w:val="left"/>
            </w:pPr>
            <w:r/>
            <w:r>
              <w:rPr>
                <w:rFonts w:ascii="Calibri" w:hAnsi="Calibri"/>
                <w:b w:val="0"/>
                <w:color w:val="1A1A1A"/>
                <w:sz w:val="24"/>
              </w:rPr>
              <w:t>___</w:t>
            </w:r>
          </w:p>
        </w:tc>
      </w:tr>
      <w:tr>
        <w:trPr>
          <w:cantSplit/>
        </w:trPr>
        <w:tc>
          <w:tcPr>
            <w:tcW w:type="dxa" w:w="648"/>
            <w:shd w:val="clear" w:color="auto" w:fill="F2F5F8"/>
          </w:tcPr>
          <w:p>
            <w:pPr>
              <w:spacing w:after="0"/>
              <w:jc w:val="left"/>
            </w:pPr>
            <w:r/>
            <w:r>
              <w:rPr>
                <w:rFonts w:ascii="Calibri" w:hAnsi="Calibri"/>
                <w:b/>
                <w:color w:val="1A1A1A"/>
                <w:sz w:val="24"/>
              </w:rPr>
              <w:t>4</w:t>
            </w:r>
          </w:p>
        </w:tc>
        <w:tc>
          <w:tcPr>
            <w:tcW w:type="dxa" w:w="1977"/>
            <w:shd w:val="clear" w:color="auto" w:fill="F2F5F8"/>
          </w:tcPr>
          <w:p>
            <w:pPr>
              <w:spacing w:after="0"/>
              <w:jc w:val="left"/>
            </w:pPr>
            <w:r/>
            <w:r>
              <w:rPr>
                <w:rFonts w:ascii="Calibri" w:hAnsi="Calibri"/>
                <w:b w:val="0"/>
                <w:color w:val="1A1A1A"/>
                <w:sz w:val="24"/>
              </w:rPr>
              <w:t>Outubro</w:t>
            </w:r>
          </w:p>
        </w:tc>
        <w:tc>
          <w:tcPr>
            <w:tcW w:type="dxa" w:w="1748"/>
            <w:shd w:val="clear" w:color="auto" w:fill="F2F5F8"/>
          </w:tcPr>
          <w:p>
            <w:pPr>
              <w:spacing w:after="0"/>
              <w:jc w:val="left"/>
            </w:pPr>
            <w:r/>
            <w:r>
              <w:rPr>
                <w:rFonts w:ascii="Calibri" w:hAnsi="Calibri"/>
                <w:b w:val="0"/>
                <w:color w:val="1A1A1A"/>
                <w:sz w:val="24"/>
              </w:rPr>
              <w:t>___</w:t>
            </w:r>
          </w:p>
        </w:tc>
        <w:tc>
          <w:tcPr>
            <w:tcW w:type="dxa" w:w="877"/>
            <w:shd w:val="clear" w:color="auto" w:fill="F2F5F8"/>
          </w:tcPr>
          <w:p>
            <w:pPr>
              <w:spacing w:after="0"/>
              <w:jc w:val="left"/>
            </w:pPr>
            <w:r/>
            <w:r>
              <w:rPr>
                <w:rFonts w:ascii="Calibri" w:hAnsi="Calibri"/>
                <w:b w:val="0"/>
                <w:color w:val="1A1A1A"/>
                <w:sz w:val="24"/>
              </w:rPr>
              <w:t>___</w:t>
            </w:r>
          </w:p>
        </w:tc>
        <w:tc>
          <w:tcPr>
            <w:tcW w:type="dxa" w:w="2230"/>
            <w:shd w:val="clear" w:color="auto" w:fill="F2F5F8"/>
          </w:tcPr>
          <w:p>
            <w:pPr>
              <w:spacing w:after="0"/>
              <w:jc w:val="left"/>
            </w:pPr>
            <w:r/>
            <w:r>
              <w:rPr>
                <w:rFonts w:ascii="Calibri" w:hAnsi="Calibri"/>
                <w:b w:val="0"/>
                <w:color w:val="1A1A1A"/>
                <w:sz w:val="24"/>
              </w:rPr>
              <w:t>M6, M7</w:t>
            </w:r>
          </w:p>
        </w:tc>
        <w:tc>
          <w:tcPr>
            <w:tcW w:type="dxa" w:w="1591"/>
            <w:shd w:val="clear" w:color="auto" w:fill="F2F5F8"/>
          </w:tcPr>
          <w:p>
            <w:pPr>
              <w:spacing w:after="0"/>
              <w:jc w:val="left"/>
            </w:pPr>
            <w:r/>
            <w:r>
              <w:rPr>
                <w:rFonts w:ascii="Calibri" w:hAnsi="Calibri"/>
                <w:b w:val="0"/>
                <w:color w:val="1A1A1A"/>
                <w:sz w:val="24"/>
              </w:rPr>
              <w:t>___</w:t>
            </w:r>
          </w:p>
        </w:tc>
      </w:tr>
      <w:tr>
        <w:trPr>
          <w:cantSplit/>
        </w:trPr>
        <w:tc>
          <w:tcPr>
            <w:tcW w:type="dxa" w:w="648"/>
          </w:tcPr>
          <w:p>
            <w:pPr>
              <w:spacing w:after="0"/>
              <w:jc w:val="left"/>
            </w:pPr>
            <w:r/>
            <w:r>
              <w:rPr>
                <w:rFonts w:ascii="Calibri" w:hAnsi="Calibri"/>
                <w:b/>
                <w:color w:val="1A1A1A"/>
                <w:sz w:val="24"/>
              </w:rPr>
              <w:t>5</w:t>
            </w:r>
          </w:p>
        </w:tc>
        <w:tc>
          <w:tcPr>
            <w:tcW w:type="dxa" w:w="1977"/>
          </w:tcPr>
          <w:p>
            <w:pPr>
              <w:spacing w:after="0"/>
              <w:jc w:val="left"/>
            </w:pPr>
            <w:r/>
            <w:r>
              <w:rPr>
                <w:rFonts w:ascii="Calibri" w:hAnsi="Calibri"/>
                <w:b w:val="0"/>
                <w:color w:val="1A1A1A"/>
                <w:sz w:val="24"/>
              </w:rPr>
              <w:t>Novembro</w:t>
            </w:r>
          </w:p>
        </w:tc>
        <w:tc>
          <w:tcPr>
            <w:tcW w:type="dxa" w:w="1748"/>
          </w:tcPr>
          <w:p>
            <w:pPr>
              <w:spacing w:after="0"/>
              <w:jc w:val="left"/>
            </w:pPr>
            <w:r/>
            <w:r>
              <w:rPr>
                <w:rFonts w:ascii="Calibri" w:hAnsi="Calibri"/>
                <w:b w:val="0"/>
                <w:color w:val="1A1A1A"/>
                <w:sz w:val="24"/>
              </w:rPr>
              <w:t>___</w:t>
            </w:r>
          </w:p>
        </w:tc>
        <w:tc>
          <w:tcPr>
            <w:tcW w:type="dxa" w:w="877"/>
          </w:tcPr>
          <w:p>
            <w:pPr>
              <w:spacing w:after="0"/>
              <w:jc w:val="left"/>
            </w:pPr>
            <w:r/>
            <w:r>
              <w:rPr>
                <w:rFonts w:ascii="Calibri" w:hAnsi="Calibri"/>
                <w:b w:val="0"/>
                <w:color w:val="1A1A1A"/>
                <w:sz w:val="24"/>
              </w:rPr>
              <w:t>___</w:t>
            </w:r>
          </w:p>
        </w:tc>
        <w:tc>
          <w:tcPr>
            <w:tcW w:type="dxa" w:w="2230"/>
          </w:tcPr>
          <w:p>
            <w:pPr>
              <w:spacing w:after="0"/>
              <w:jc w:val="left"/>
            </w:pPr>
            <w:r/>
            <w:r>
              <w:rPr>
                <w:rFonts w:ascii="Calibri" w:hAnsi="Calibri"/>
                <w:b w:val="0"/>
                <w:color w:val="1A1A1A"/>
                <w:sz w:val="24"/>
              </w:rPr>
              <w:t>M8, M9, M10</w:t>
            </w:r>
          </w:p>
        </w:tc>
        <w:tc>
          <w:tcPr>
            <w:tcW w:type="dxa" w:w="1591"/>
          </w:tcPr>
          <w:p>
            <w:pPr>
              <w:spacing w:after="0"/>
              <w:jc w:val="left"/>
            </w:pPr>
            <w:r/>
            <w:r>
              <w:rPr>
                <w:rFonts w:ascii="Calibri" w:hAnsi="Calibri"/>
                <w:b w:val="0"/>
                <w:color w:val="1A1A1A"/>
                <w:sz w:val="24"/>
              </w:rPr>
              <w:t>___</w:t>
            </w:r>
          </w:p>
        </w:tc>
      </w:tr>
      <w:tr>
        <w:trPr>
          <w:cantSplit/>
        </w:trPr>
        <w:tc>
          <w:tcPr>
            <w:tcW w:type="dxa" w:w="648"/>
            <w:shd w:val="clear" w:color="auto" w:fill="F2F5F8"/>
          </w:tcPr>
          <w:p>
            <w:pPr>
              <w:spacing w:after="0"/>
              <w:jc w:val="left"/>
            </w:pPr>
            <w:r/>
            <w:r>
              <w:rPr>
                <w:rFonts w:ascii="Calibri" w:hAnsi="Calibri"/>
                <w:b/>
                <w:color w:val="1A1A1A"/>
                <w:sz w:val="24"/>
              </w:rPr>
              <w:t>6</w:t>
            </w:r>
          </w:p>
        </w:tc>
        <w:tc>
          <w:tcPr>
            <w:tcW w:type="dxa" w:w="1977"/>
            <w:shd w:val="clear" w:color="auto" w:fill="F2F5F8"/>
          </w:tcPr>
          <w:p>
            <w:pPr>
              <w:spacing w:after="0"/>
              <w:jc w:val="left"/>
            </w:pPr>
            <w:r/>
            <w:r>
              <w:rPr>
                <w:rFonts w:ascii="Calibri" w:hAnsi="Calibri"/>
                <w:b w:val="0"/>
                <w:color w:val="1A1A1A"/>
                <w:sz w:val="24"/>
              </w:rPr>
              <w:t>Dezembro</w:t>
            </w:r>
          </w:p>
        </w:tc>
        <w:tc>
          <w:tcPr>
            <w:tcW w:type="dxa" w:w="1748"/>
            <w:shd w:val="clear" w:color="auto" w:fill="F2F5F8"/>
          </w:tcPr>
          <w:p>
            <w:pPr>
              <w:spacing w:after="0"/>
              <w:jc w:val="left"/>
            </w:pPr>
            <w:r/>
            <w:r>
              <w:rPr>
                <w:rFonts w:ascii="Calibri" w:hAnsi="Calibri"/>
                <w:b w:val="0"/>
                <w:color w:val="1A1A1A"/>
                <w:sz w:val="24"/>
              </w:rPr>
              <w:t>___</w:t>
            </w:r>
          </w:p>
        </w:tc>
        <w:tc>
          <w:tcPr>
            <w:tcW w:type="dxa" w:w="877"/>
            <w:shd w:val="clear" w:color="auto" w:fill="F2F5F8"/>
          </w:tcPr>
          <w:p>
            <w:pPr>
              <w:spacing w:after="0"/>
              <w:jc w:val="left"/>
            </w:pPr>
            <w:r/>
            <w:r>
              <w:rPr>
                <w:rFonts w:ascii="Calibri" w:hAnsi="Calibri"/>
                <w:b w:val="0"/>
                <w:color w:val="1A1A1A"/>
                <w:sz w:val="24"/>
              </w:rPr>
              <w:t>___</w:t>
            </w:r>
          </w:p>
        </w:tc>
        <w:tc>
          <w:tcPr>
            <w:tcW w:type="dxa" w:w="2230"/>
            <w:shd w:val="clear" w:color="auto" w:fill="F2F5F8"/>
          </w:tcPr>
          <w:p>
            <w:pPr>
              <w:spacing w:after="0"/>
              <w:jc w:val="left"/>
            </w:pPr>
            <w:r/>
            <w:r>
              <w:rPr>
                <w:rFonts w:ascii="Calibri" w:hAnsi="Calibri"/>
                <w:b w:val="0"/>
                <w:color w:val="1A1A1A"/>
                <w:sz w:val="24"/>
              </w:rPr>
              <w:t>M11, M12, ciclo 2027</w:t>
            </w:r>
          </w:p>
        </w:tc>
        <w:tc>
          <w:tcPr>
            <w:tcW w:type="dxa" w:w="1591"/>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3  Modelo padronizado de ata</w:t>
      </w:r>
    </w:p>
    <w:p>
      <w:pPr>
        <w:spacing w:after="120"/>
        <w:jc w:val="both"/>
      </w:pPr>
      <w:r>
        <w:rPr>
          <w:rFonts w:ascii="Calibri" w:hAnsi="Calibri"/>
          <w:b w:val="0"/>
          <w:i w:val="0"/>
          <w:color w:val="1A1A1A"/>
          <w:sz w:val="24"/>
        </w:rPr>
        <w:t>Modelo único, aplicável a todas as reuniões do Núcleo. A padronização existe para que a auditoria da meta possa ser feita por leitura rápida das seis atas, sem reconstrução.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214"/>
        <w:gridCol w:w="5858"/>
      </w:tblGrid>
      <w:tr>
        <w:trPr>
          <w:cantSplit/>
          <w:tblHeader/>
        </w:trPr>
        <w:tc>
          <w:tcPr>
            <w:tcW w:type="dxa" w:w="3214"/>
            <w:shd w:val="clear" w:color="auto" w:fill="143C64"/>
          </w:tcPr>
          <w:p>
            <w:pPr>
              <w:spacing w:after="0"/>
              <w:jc w:val="left"/>
            </w:pPr>
            <w:r/>
            <w:r>
              <w:rPr>
                <w:rFonts w:ascii="Calibri" w:hAnsi="Calibri"/>
                <w:b/>
                <w:color w:val="FFFFFF"/>
                <w:sz w:val="24"/>
              </w:rPr>
              <w:t>Bloco</w:t>
            </w:r>
          </w:p>
        </w:tc>
        <w:tc>
          <w:tcPr>
            <w:tcW w:type="dxa" w:w="5858"/>
            <w:shd w:val="clear" w:color="auto" w:fill="143C64"/>
          </w:tcPr>
          <w:p>
            <w:pPr>
              <w:spacing w:after="0"/>
              <w:jc w:val="left"/>
            </w:pPr>
            <w:r/>
            <w:r>
              <w:rPr>
                <w:rFonts w:ascii="Calibri" w:hAnsi="Calibri"/>
                <w:b/>
                <w:color w:val="FFFFFF"/>
                <w:sz w:val="24"/>
              </w:rPr>
              <w:t>Conteúdo</w:t>
            </w:r>
          </w:p>
        </w:tc>
      </w:tr>
      <w:tr>
        <w:trPr>
          <w:cantSplit/>
        </w:trPr>
        <w:tc>
          <w:tcPr>
            <w:tcW w:type="dxa" w:w="3214"/>
          </w:tcPr>
          <w:p>
            <w:pPr>
              <w:spacing w:after="0"/>
              <w:jc w:val="left"/>
            </w:pPr>
            <w:r/>
            <w:r>
              <w:rPr>
                <w:rFonts w:ascii="Calibri" w:hAnsi="Calibri"/>
                <w:b/>
                <w:color w:val="1A1A1A"/>
                <w:sz w:val="24"/>
              </w:rPr>
              <w:t>Cabeçalho</w:t>
            </w:r>
          </w:p>
        </w:tc>
        <w:tc>
          <w:tcPr>
            <w:tcW w:type="dxa" w:w="5858"/>
          </w:tcPr>
          <w:p>
            <w:pPr>
              <w:spacing w:after="0"/>
              <w:jc w:val="left"/>
            </w:pPr>
            <w:r/>
            <w:r>
              <w:rPr>
                <w:rFonts w:ascii="Calibri" w:hAnsi="Calibri"/>
                <w:b w:val="0"/>
                <w:color w:val="1A1A1A"/>
                <w:sz w:val="24"/>
              </w:rPr>
              <w:t>Ata da [número] reunião ordinária do Núcleo 5, Inovação, Tecnologias e Segurança Clínica, da Câmara Técnica de Harmonização Orofacial do Conselho Regional de Odontologia de Minas Gerais, realizada em [data], às [horário], por [modalidade].</w:t>
            </w:r>
          </w:p>
        </w:tc>
      </w:tr>
      <w:tr>
        <w:trPr>
          <w:cantSplit/>
        </w:trPr>
        <w:tc>
          <w:tcPr>
            <w:tcW w:type="dxa" w:w="3214"/>
            <w:shd w:val="clear" w:color="auto" w:fill="F2F5F8"/>
          </w:tcPr>
          <w:p>
            <w:pPr>
              <w:spacing w:after="0"/>
              <w:jc w:val="left"/>
            </w:pPr>
            <w:r/>
            <w:r>
              <w:rPr>
                <w:rFonts w:ascii="Calibri" w:hAnsi="Calibri"/>
                <w:b/>
                <w:color w:val="1A1A1A"/>
                <w:sz w:val="24"/>
              </w:rPr>
              <w:t>Presenças</w:t>
            </w:r>
          </w:p>
        </w:tc>
        <w:tc>
          <w:tcPr>
            <w:tcW w:type="dxa" w:w="5858"/>
            <w:shd w:val="clear" w:color="auto" w:fill="F2F5F8"/>
          </w:tcPr>
          <w:p>
            <w:pPr>
              <w:spacing w:after="0"/>
              <w:jc w:val="left"/>
            </w:pPr>
            <w:r/>
            <w:r>
              <w:rPr>
                <w:rFonts w:ascii="Calibri" w:hAnsi="Calibri"/>
                <w:b w:val="0"/>
                <w:color w:val="1A1A1A"/>
                <w:sz w:val="24"/>
              </w:rPr>
              <w:t>Presentes: [nome e inscrição de cada integrante]. Ausências justificadas: [nomes]. Convidados: [nomes e vínculo].</w:t>
            </w:r>
          </w:p>
        </w:tc>
      </w:tr>
      <w:tr>
        <w:trPr>
          <w:cantSplit/>
        </w:trPr>
        <w:tc>
          <w:tcPr>
            <w:tcW w:type="dxa" w:w="3214"/>
          </w:tcPr>
          <w:p>
            <w:pPr>
              <w:spacing w:after="0"/>
              <w:jc w:val="left"/>
            </w:pPr>
            <w:r/>
            <w:r>
              <w:rPr>
                <w:rFonts w:ascii="Calibri" w:hAnsi="Calibri"/>
                <w:b/>
                <w:color w:val="1A1A1A"/>
                <w:sz w:val="24"/>
              </w:rPr>
              <w:t>Pauta</w:t>
            </w:r>
          </w:p>
        </w:tc>
        <w:tc>
          <w:tcPr>
            <w:tcW w:type="dxa" w:w="5858"/>
          </w:tcPr>
          <w:p>
            <w:pPr>
              <w:spacing w:after="0"/>
              <w:jc w:val="left"/>
            </w:pPr>
            <w:r/>
            <w:r>
              <w:rPr>
                <w:rFonts w:ascii="Calibri" w:hAnsi="Calibri"/>
                <w:b w:val="0"/>
                <w:color w:val="1A1A1A"/>
                <w:sz w:val="24"/>
              </w:rPr>
              <w:t>Itens previamente comunicados, numerados, com indicação da meta vinculada a cada um.</w:t>
            </w:r>
          </w:p>
        </w:tc>
      </w:tr>
      <w:tr>
        <w:trPr>
          <w:cantSplit/>
        </w:trPr>
        <w:tc>
          <w:tcPr>
            <w:tcW w:type="dxa" w:w="3214"/>
            <w:shd w:val="clear" w:color="auto" w:fill="F2F5F8"/>
          </w:tcPr>
          <w:p>
            <w:pPr>
              <w:spacing w:after="0"/>
              <w:jc w:val="left"/>
            </w:pPr>
            <w:r/>
            <w:r>
              <w:rPr>
                <w:rFonts w:ascii="Calibri" w:hAnsi="Calibri"/>
                <w:b/>
                <w:color w:val="1A1A1A"/>
                <w:sz w:val="24"/>
              </w:rPr>
              <w:t>Deliberações</w:t>
            </w:r>
          </w:p>
        </w:tc>
        <w:tc>
          <w:tcPr>
            <w:tcW w:type="dxa" w:w="5858"/>
            <w:shd w:val="clear" w:color="auto" w:fill="F2F5F8"/>
          </w:tcPr>
          <w:p>
            <w:pPr>
              <w:spacing w:after="0"/>
              <w:jc w:val="left"/>
            </w:pPr>
            <w:r/>
            <w:r>
              <w:rPr>
                <w:rFonts w:ascii="Calibri" w:hAnsi="Calibri"/>
                <w:b w:val="0"/>
                <w:color w:val="1A1A1A"/>
                <w:sz w:val="24"/>
              </w:rPr>
              <w:t>Para cada item: o que foi discutido em síntese, o que foi decidido, o resultado da votação quando houver, e as ressalvas registradas por qualquer integrante.</w:t>
            </w:r>
          </w:p>
        </w:tc>
      </w:tr>
      <w:tr>
        <w:trPr>
          <w:cantSplit/>
        </w:trPr>
        <w:tc>
          <w:tcPr>
            <w:tcW w:type="dxa" w:w="3214"/>
          </w:tcPr>
          <w:p>
            <w:pPr>
              <w:spacing w:after="0"/>
              <w:jc w:val="left"/>
            </w:pPr>
            <w:r/>
            <w:r>
              <w:rPr>
                <w:rFonts w:ascii="Calibri" w:hAnsi="Calibri"/>
                <w:b/>
                <w:color w:val="1A1A1A"/>
                <w:sz w:val="24"/>
              </w:rPr>
              <w:t>Encaminhamentos</w:t>
            </w:r>
          </w:p>
        </w:tc>
        <w:tc>
          <w:tcPr>
            <w:tcW w:type="dxa" w:w="5858"/>
          </w:tcPr>
          <w:p>
            <w:pPr>
              <w:spacing w:after="0"/>
              <w:jc w:val="left"/>
            </w:pPr>
            <w:r/>
            <w:r>
              <w:rPr>
                <w:rFonts w:ascii="Calibri" w:hAnsi="Calibri"/>
                <w:b w:val="0"/>
                <w:color w:val="1A1A1A"/>
                <w:sz w:val="24"/>
              </w:rPr>
              <w:t>Ação, responsável nominal e prazo. Encaminhamento sem responsável e sem prazo não deve ser registrado como encaminhamento.</w:t>
            </w:r>
          </w:p>
        </w:tc>
      </w:tr>
      <w:tr>
        <w:trPr>
          <w:cantSplit/>
        </w:trPr>
        <w:tc>
          <w:tcPr>
            <w:tcW w:type="dxa" w:w="3214"/>
            <w:shd w:val="clear" w:color="auto" w:fill="F2F5F8"/>
          </w:tcPr>
          <w:p>
            <w:pPr>
              <w:spacing w:after="0"/>
              <w:jc w:val="left"/>
            </w:pPr>
            <w:r/>
            <w:r>
              <w:rPr>
                <w:rFonts w:ascii="Calibri" w:hAnsi="Calibri"/>
                <w:b/>
                <w:color w:val="1A1A1A"/>
                <w:sz w:val="24"/>
              </w:rPr>
              <w:t>Conflitos de interesse</w:t>
            </w:r>
          </w:p>
        </w:tc>
        <w:tc>
          <w:tcPr>
            <w:tcW w:type="dxa" w:w="5858"/>
            <w:shd w:val="clear" w:color="auto" w:fill="F2F5F8"/>
          </w:tcPr>
          <w:p>
            <w:pPr>
              <w:spacing w:after="0"/>
              <w:jc w:val="left"/>
            </w:pPr>
            <w:r/>
            <w:r>
              <w:rPr>
                <w:rFonts w:ascii="Calibri" w:hAnsi="Calibri"/>
                <w:b w:val="0"/>
                <w:color w:val="1A1A1A"/>
                <w:sz w:val="24"/>
              </w:rPr>
              <w:t>Declarações apresentadas na reunião e eventual abstenção decorrente.</w:t>
            </w:r>
          </w:p>
        </w:tc>
      </w:tr>
      <w:tr>
        <w:trPr>
          <w:cantSplit/>
        </w:trPr>
        <w:tc>
          <w:tcPr>
            <w:tcW w:type="dxa" w:w="3214"/>
          </w:tcPr>
          <w:p>
            <w:pPr>
              <w:spacing w:after="0"/>
              <w:jc w:val="left"/>
            </w:pPr>
            <w:r/>
            <w:r>
              <w:rPr>
                <w:rFonts w:ascii="Calibri" w:hAnsi="Calibri"/>
                <w:b/>
                <w:color w:val="1A1A1A"/>
                <w:sz w:val="24"/>
              </w:rPr>
              <w:t>Documentos anexados</w:t>
            </w:r>
          </w:p>
        </w:tc>
        <w:tc>
          <w:tcPr>
            <w:tcW w:type="dxa" w:w="5858"/>
          </w:tcPr>
          <w:p>
            <w:pPr>
              <w:spacing w:after="0"/>
              <w:jc w:val="left"/>
            </w:pPr>
            <w:r/>
            <w:r>
              <w:rPr>
                <w:rFonts w:ascii="Calibri" w:hAnsi="Calibri"/>
                <w:b w:val="0"/>
                <w:color w:val="1A1A1A"/>
                <w:sz w:val="24"/>
              </w:rPr>
              <w:t>Relação dos documentos apreciados, com código e versão.</w:t>
            </w:r>
          </w:p>
        </w:tc>
      </w:tr>
      <w:tr>
        <w:trPr>
          <w:cantSplit/>
        </w:trPr>
        <w:tc>
          <w:tcPr>
            <w:tcW w:type="dxa" w:w="3214"/>
            <w:shd w:val="clear" w:color="auto" w:fill="F2F5F8"/>
          </w:tcPr>
          <w:p>
            <w:pPr>
              <w:spacing w:after="0"/>
              <w:jc w:val="left"/>
            </w:pPr>
            <w:r/>
            <w:r>
              <w:rPr>
                <w:rFonts w:ascii="Calibri" w:hAnsi="Calibri"/>
                <w:b/>
                <w:color w:val="1A1A1A"/>
                <w:sz w:val="24"/>
              </w:rPr>
              <w:t>Encerramento</w:t>
            </w:r>
          </w:p>
        </w:tc>
        <w:tc>
          <w:tcPr>
            <w:tcW w:type="dxa" w:w="5858"/>
            <w:shd w:val="clear" w:color="auto" w:fill="F2F5F8"/>
          </w:tcPr>
          <w:p>
            <w:pPr>
              <w:spacing w:after="0"/>
              <w:jc w:val="left"/>
            </w:pPr>
            <w:r/>
            <w:r>
              <w:rPr>
                <w:rFonts w:ascii="Calibri" w:hAnsi="Calibri"/>
                <w:b w:val="0"/>
                <w:color w:val="1A1A1A"/>
                <w:sz w:val="24"/>
              </w:rPr>
              <w:t>Horário de encerramento, data da próxima reunião e assinatura dos presentes.</w:t>
            </w:r>
          </w:p>
        </w:tc>
      </w:tr>
    </w:tbl>
    <w:p>
      <w:r>
        <w:br w:type="page"/>
      </w:r>
    </w:p>
    <w:p>
      <w:pPr>
        <w:keepNext/>
        <w:spacing w:before="360" w:after="160"/>
        <w:jc w:val="left"/>
        <w:pBdr>
          <w:bottom w:val="single" w:sz="8" w:space="4" w:color="143C64"/>
        </w:pBdr>
      </w:pPr>
      <w:r>
        <w:rPr>
          <w:rFonts w:ascii="Calibri" w:hAnsi="Calibri"/>
          <w:b/>
          <w:color w:val="143C64"/>
          <w:sz w:val="30"/>
        </w:rPr>
        <w:t>4  Pauta mínima por reunião</w:t>
      </w:r>
    </w:p>
    <w:p>
      <w:pPr>
        <w:spacing w:after="120"/>
        <w:jc w:val="both"/>
      </w:pPr>
      <w:r>
        <w:rPr>
          <w:rFonts w:ascii="Calibri" w:hAnsi="Calibri"/>
          <w:b w:val="0"/>
          <w:i w:val="0"/>
          <w:color w:val="1A1A1A"/>
          <w:sz w:val="24"/>
        </w:rPr>
        <w:t>Sugestão de pauta que assegura a cobertura das metas do ciclo. A pauta efetiva é definida pela Presidência do Núcleo e comunicada previamente.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16"/>
        <w:gridCol w:w="6756"/>
      </w:tblGrid>
      <w:tr>
        <w:trPr>
          <w:cantSplit/>
          <w:tblHeader/>
        </w:trPr>
        <w:tc>
          <w:tcPr>
            <w:tcW w:type="dxa" w:w="2316"/>
            <w:shd w:val="clear" w:color="auto" w:fill="143C64"/>
          </w:tcPr>
          <w:p>
            <w:pPr>
              <w:spacing w:after="0"/>
              <w:jc w:val="left"/>
            </w:pPr>
            <w:r/>
            <w:r>
              <w:rPr>
                <w:rFonts w:ascii="Calibri" w:hAnsi="Calibri"/>
                <w:b/>
                <w:color w:val="FFFFFF"/>
                <w:sz w:val="24"/>
              </w:rPr>
              <w:t>Reunião</w:t>
            </w:r>
          </w:p>
        </w:tc>
        <w:tc>
          <w:tcPr>
            <w:tcW w:type="dxa" w:w="6756"/>
            <w:shd w:val="clear" w:color="auto" w:fill="143C64"/>
          </w:tcPr>
          <w:p>
            <w:pPr>
              <w:spacing w:after="0"/>
              <w:jc w:val="left"/>
            </w:pPr>
            <w:r/>
            <w:r>
              <w:rPr>
                <w:rFonts w:ascii="Calibri" w:hAnsi="Calibri"/>
                <w:b/>
                <w:color w:val="FFFFFF"/>
                <w:sz w:val="24"/>
              </w:rPr>
              <w:t>Itens obrigatórios de pauta</w:t>
            </w:r>
          </w:p>
        </w:tc>
      </w:tr>
      <w:tr>
        <w:trPr>
          <w:cantSplit/>
        </w:trPr>
        <w:tc>
          <w:tcPr>
            <w:tcW w:type="dxa" w:w="2316"/>
          </w:tcPr>
          <w:p>
            <w:pPr>
              <w:spacing w:after="0"/>
              <w:jc w:val="left"/>
            </w:pPr>
            <w:r/>
            <w:r>
              <w:rPr>
                <w:rFonts w:ascii="Calibri" w:hAnsi="Calibri"/>
                <w:b/>
                <w:color w:val="1A1A1A"/>
                <w:sz w:val="24"/>
              </w:rPr>
              <w:t>1. Julho</w:t>
            </w:r>
          </w:p>
        </w:tc>
        <w:tc>
          <w:tcPr>
            <w:tcW w:type="dxa" w:w="6756"/>
          </w:tcPr>
          <w:p>
            <w:pPr>
              <w:spacing w:after="0"/>
              <w:jc w:val="left"/>
            </w:pPr>
            <w:r/>
            <w:r>
              <w:rPr>
                <w:rFonts w:ascii="Calibri" w:hAnsi="Calibri"/>
                <w:b w:val="0"/>
                <w:color w:val="1A1A1A"/>
                <w:sz w:val="24"/>
              </w:rPr>
              <w:t>Instalação. Composição e atribuições. Definição de subgrupos. Canal oficial de comunicação e repositório. Calendário fixo do ciclo. Aprovação do protocolo de levantamento.</w:t>
            </w:r>
          </w:p>
        </w:tc>
      </w:tr>
      <w:tr>
        <w:trPr>
          <w:cantSplit/>
        </w:trPr>
        <w:tc>
          <w:tcPr>
            <w:tcW w:type="dxa" w:w="2316"/>
            <w:shd w:val="clear" w:color="auto" w:fill="F2F5F8"/>
          </w:tcPr>
          <w:p>
            <w:pPr>
              <w:spacing w:after="0"/>
              <w:jc w:val="left"/>
            </w:pPr>
            <w:r/>
            <w:r>
              <w:rPr>
                <w:rFonts w:ascii="Calibri" w:hAnsi="Calibri"/>
                <w:b/>
                <w:color w:val="1A1A1A"/>
                <w:sz w:val="24"/>
              </w:rPr>
              <w:t>2. Agosto</w:t>
            </w:r>
          </w:p>
        </w:tc>
        <w:tc>
          <w:tcPr>
            <w:tcW w:type="dxa" w:w="6756"/>
            <w:shd w:val="clear" w:color="auto" w:fill="F2F5F8"/>
          </w:tcPr>
          <w:p>
            <w:pPr>
              <w:spacing w:after="0"/>
              <w:jc w:val="left"/>
            </w:pPr>
            <w:r/>
            <w:r>
              <w:rPr>
                <w:rFonts w:ascii="Calibri" w:hAnsi="Calibri"/>
                <w:b w:val="0"/>
                <w:color w:val="1A1A1A"/>
                <w:sz w:val="24"/>
              </w:rPr>
              <w:t>Aprovação do modelo mestre de POP e da matriz de avaliação tecnológica. Aprovação do mapa normativo. Autorização de encaminhamento das minutas de ofício à Diretoria. Registro das situações contenciosas.</w:t>
            </w:r>
          </w:p>
        </w:tc>
      </w:tr>
      <w:tr>
        <w:trPr>
          <w:cantSplit/>
        </w:trPr>
        <w:tc>
          <w:tcPr>
            <w:tcW w:type="dxa" w:w="2316"/>
          </w:tcPr>
          <w:p>
            <w:pPr>
              <w:spacing w:after="0"/>
              <w:jc w:val="left"/>
            </w:pPr>
            <w:r/>
            <w:r>
              <w:rPr>
                <w:rFonts w:ascii="Calibri" w:hAnsi="Calibri"/>
                <w:b/>
                <w:color w:val="1A1A1A"/>
                <w:sz w:val="24"/>
              </w:rPr>
              <w:t>3. Setembro</w:t>
            </w:r>
          </w:p>
        </w:tc>
        <w:tc>
          <w:tcPr>
            <w:tcW w:type="dxa" w:w="6756"/>
          </w:tcPr>
          <w:p>
            <w:pPr>
              <w:spacing w:after="0"/>
              <w:jc w:val="left"/>
            </w:pPr>
            <w:r/>
            <w:r>
              <w:rPr>
                <w:rFonts w:ascii="Calibri" w:hAnsi="Calibri"/>
                <w:b w:val="0"/>
                <w:color w:val="1A1A1A"/>
                <w:sz w:val="24"/>
              </w:rPr>
              <w:t>Apreciação do fluxograma, do guia de diagnóstico precoce e do checklist. Aprovação da onda 1 de POPs. Designação de revisores por par. Aprovação da nota técnica sobre conformidade regulatória.</w:t>
            </w:r>
          </w:p>
        </w:tc>
      </w:tr>
      <w:tr>
        <w:trPr>
          <w:cantSplit/>
        </w:trPr>
        <w:tc>
          <w:tcPr>
            <w:tcW w:type="dxa" w:w="2316"/>
            <w:shd w:val="clear" w:color="auto" w:fill="F2F5F8"/>
          </w:tcPr>
          <w:p>
            <w:pPr>
              <w:spacing w:after="0"/>
              <w:jc w:val="left"/>
            </w:pPr>
            <w:r/>
            <w:r>
              <w:rPr>
                <w:rFonts w:ascii="Calibri" w:hAnsi="Calibri"/>
                <w:b/>
                <w:color w:val="1A1A1A"/>
                <w:sz w:val="24"/>
              </w:rPr>
              <w:t>4. Outubro</w:t>
            </w:r>
          </w:p>
        </w:tc>
        <w:tc>
          <w:tcPr>
            <w:tcW w:type="dxa" w:w="6756"/>
            <w:shd w:val="clear" w:color="auto" w:fill="F2F5F8"/>
          </w:tcPr>
          <w:p>
            <w:pPr>
              <w:spacing w:after="0"/>
              <w:jc w:val="left"/>
            </w:pPr>
            <w:r/>
            <w:r>
              <w:rPr>
                <w:rFonts w:ascii="Calibri" w:hAnsi="Calibri"/>
                <w:b w:val="0"/>
                <w:color w:val="1A1A1A"/>
                <w:sz w:val="24"/>
              </w:rPr>
              <w:t>Aprovação do manual de boas práticas. Aprovação da onda 2 de POPs. Aprovação do comunicado sobre uso fora da indicação aprovada. Definição das datas das simulações.</w:t>
            </w:r>
          </w:p>
        </w:tc>
      </w:tr>
      <w:tr>
        <w:trPr>
          <w:cantSplit/>
        </w:trPr>
        <w:tc>
          <w:tcPr>
            <w:tcW w:type="dxa" w:w="2316"/>
          </w:tcPr>
          <w:p>
            <w:pPr>
              <w:spacing w:after="0"/>
              <w:jc w:val="left"/>
            </w:pPr>
            <w:r/>
            <w:r>
              <w:rPr>
                <w:rFonts w:ascii="Calibri" w:hAnsi="Calibri"/>
                <w:b/>
                <w:color w:val="1A1A1A"/>
                <w:sz w:val="24"/>
              </w:rPr>
              <w:t>5. Novembro</w:t>
            </w:r>
          </w:p>
        </w:tc>
        <w:tc>
          <w:tcPr>
            <w:tcW w:type="dxa" w:w="6756"/>
          </w:tcPr>
          <w:p>
            <w:pPr>
              <w:spacing w:after="0"/>
              <w:jc w:val="left"/>
            </w:pPr>
            <w:r/>
            <w:r>
              <w:rPr>
                <w:rFonts w:ascii="Calibri" w:hAnsi="Calibri"/>
                <w:b w:val="0"/>
                <w:color w:val="1A1A1A"/>
                <w:sz w:val="24"/>
              </w:rPr>
              <w:t>Apreciação do relatório-piloto de avaliação tecnológica, com decisão sobre o número de dimensões do indicador. Apreciação dos modelos de termo após revisão jurídica. Aprovação do dossiê de submissão à Diretoria Executiva. Apreciação dos relatórios de simulação.</w:t>
            </w:r>
          </w:p>
        </w:tc>
      </w:tr>
      <w:tr>
        <w:trPr>
          <w:cantSplit/>
        </w:trPr>
        <w:tc>
          <w:tcPr>
            <w:tcW w:type="dxa" w:w="2316"/>
            <w:shd w:val="clear" w:color="auto" w:fill="F2F5F8"/>
          </w:tcPr>
          <w:p>
            <w:pPr>
              <w:spacing w:after="0"/>
              <w:jc w:val="left"/>
            </w:pPr>
            <w:r/>
            <w:r>
              <w:rPr>
                <w:rFonts w:ascii="Calibri" w:hAnsi="Calibri"/>
                <w:b/>
                <w:color w:val="1A1A1A"/>
                <w:sz w:val="24"/>
              </w:rPr>
              <w:t>6. Dezembro</w:t>
            </w:r>
          </w:p>
        </w:tc>
        <w:tc>
          <w:tcPr>
            <w:tcW w:type="dxa" w:w="6756"/>
            <w:shd w:val="clear" w:color="auto" w:fill="F2F5F8"/>
          </w:tcPr>
          <w:p>
            <w:pPr>
              <w:spacing w:after="0"/>
              <w:jc w:val="left"/>
            </w:pPr>
            <w:r/>
            <w:r>
              <w:rPr>
                <w:rFonts w:ascii="Calibri" w:hAnsi="Calibri"/>
                <w:b w:val="0"/>
                <w:color w:val="1A1A1A"/>
                <w:sz w:val="24"/>
              </w:rPr>
              <w:t>Aprovação do relatório de prestação de contas. Realização ou avaliação do Fórum de Tecnologias Emergentes. Entrega oficial dos produtos. Pactuação da agenda do ciclo seguinte e das pendências transferidas.</w:t>
            </w:r>
          </w:p>
        </w:tc>
      </w:tr>
    </w:tbl>
    <w:p>
      <w:pPr>
        <w:keepNext/>
        <w:spacing w:before="360" w:after="160"/>
        <w:jc w:val="left"/>
        <w:pBdr>
          <w:bottom w:val="single" w:sz="8" w:space="4" w:color="143C64"/>
        </w:pBdr>
      </w:pPr>
      <w:r>
        <w:rPr>
          <w:rFonts w:ascii="Calibri" w:hAnsi="Calibri"/>
          <w:b/>
          <w:color w:val="143C64"/>
          <w:sz w:val="30"/>
        </w:rPr>
        <w:t>5  Folha de ata para preenchimento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311"/>
        <w:gridCol w:w="4761"/>
      </w:tblGrid>
      <w:tr>
        <w:trPr>
          <w:cantSplit/>
          <w:tblHeader/>
        </w:trPr>
        <w:tc>
          <w:tcPr>
            <w:tcW w:type="dxa" w:w="4311"/>
            <w:shd w:val="clear" w:color="auto" w:fill="143C64"/>
          </w:tcPr>
          <w:p>
            <w:pPr>
              <w:spacing w:after="0"/>
              <w:jc w:val="left"/>
            </w:pPr>
            <w:r/>
            <w:r>
              <w:rPr>
                <w:rFonts w:ascii="Calibri" w:hAnsi="Calibri"/>
                <w:b/>
                <w:color w:val="FFFFFF"/>
                <w:sz w:val="24"/>
              </w:rPr>
              <w:t>Campo</w:t>
            </w:r>
          </w:p>
        </w:tc>
        <w:tc>
          <w:tcPr>
            <w:tcW w:type="dxa" w:w="4761"/>
            <w:shd w:val="clear" w:color="auto" w:fill="143C64"/>
          </w:tcPr>
          <w:p>
            <w:pPr>
              <w:spacing w:after="0"/>
              <w:jc w:val="left"/>
            </w:pPr>
            <w:r/>
            <w:r>
              <w:rPr>
                <w:rFonts w:ascii="Calibri" w:hAnsi="Calibri"/>
                <w:b/>
                <w:color w:val="FFFFFF"/>
                <w:sz w:val="24"/>
              </w:rPr>
              <w:t>Registro</w:t>
            </w:r>
          </w:p>
        </w:tc>
      </w:tr>
      <w:tr>
        <w:trPr>
          <w:cantSplit/>
        </w:trPr>
        <w:tc>
          <w:tcPr>
            <w:tcW w:type="dxa" w:w="4311"/>
          </w:tcPr>
          <w:p>
            <w:pPr>
              <w:spacing w:after="0"/>
              <w:jc w:val="left"/>
            </w:pPr>
            <w:r/>
            <w:r>
              <w:rPr>
                <w:rFonts w:ascii="Calibri" w:hAnsi="Calibri"/>
                <w:b w:val="0"/>
                <w:color w:val="1A1A1A"/>
                <w:sz w:val="24"/>
              </w:rPr>
              <w:t>Número da reunião</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Data e horário</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Modalidade</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Presentes</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Ausências justificadas</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Convidados</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Item 1 da pauta e meta vinculada</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Discussão em síntese</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Deliberação</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Encaminhamento, responsável e prazo</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Item 2 da pauta e meta vinculada</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Discussão em síntese</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Deliberação</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Encaminhamento, responsável e prazo</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Item 3 da pauta e meta vinculada</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Discussão em síntese</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Deliberação</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Encaminhamento, responsável e prazo</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Declarações de conflito de interesse</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Documentos apreciados, com código e versão</w:t>
            </w:r>
          </w:p>
        </w:tc>
        <w:tc>
          <w:tcPr>
            <w:tcW w:type="dxa" w:w="4761"/>
            <w:shd w:val="clear" w:color="auto" w:fill="F2F5F8"/>
          </w:tcPr>
          <w:p>
            <w:pPr>
              <w:spacing w:after="0"/>
              <w:jc w:val="left"/>
            </w:pPr>
            <w:r/>
            <w:r>
              <w:rPr>
                <w:rFonts w:ascii="Calibri" w:hAnsi="Calibri"/>
                <w:b w:val="0"/>
                <w:color w:val="1A1A1A"/>
                <w:sz w:val="24"/>
              </w:rPr>
              <w:t>___</w:t>
            </w:r>
          </w:p>
        </w:tc>
      </w:tr>
      <w:tr>
        <w:trPr>
          <w:cantSplit/>
        </w:trPr>
        <w:tc>
          <w:tcPr>
            <w:tcW w:type="dxa" w:w="4311"/>
          </w:tcPr>
          <w:p>
            <w:pPr>
              <w:spacing w:after="0"/>
              <w:jc w:val="left"/>
            </w:pPr>
            <w:r/>
            <w:r>
              <w:rPr>
                <w:rFonts w:ascii="Calibri" w:hAnsi="Calibri"/>
                <w:b w:val="0"/>
                <w:color w:val="1A1A1A"/>
                <w:sz w:val="24"/>
              </w:rPr>
              <w:t>Horário de encerramento</w:t>
            </w:r>
          </w:p>
        </w:tc>
        <w:tc>
          <w:tcPr>
            <w:tcW w:type="dxa" w:w="4761"/>
          </w:tcPr>
          <w:p>
            <w:pPr>
              <w:spacing w:after="0"/>
              <w:jc w:val="left"/>
            </w:pPr>
            <w:r/>
            <w:r>
              <w:rPr>
                <w:rFonts w:ascii="Calibri" w:hAnsi="Calibri"/>
                <w:b w:val="0"/>
                <w:color w:val="1A1A1A"/>
                <w:sz w:val="24"/>
              </w:rPr>
              <w:t>___</w:t>
            </w:r>
          </w:p>
        </w:tc>
      </w:tr>
      <w:tr>
        <w:trPr>
          <w:cantSplit/>
        </w:trPr>
        <w:tc>
          <w:tcPr>
            <w:tcW w:type="dxa" w:w="4311"/>
            <w:shd w:val="clear" w:color="auto" w:fill="F2F5F8"/>
          </w:tcPr>
          <w:p>
            <w:pPr>
              <w:spacing w:after="0"/>
              <w:jc w:val="left"/>
            </w:pPr>
            <w:r/>
            <w:r>
              <w:rPr>
                <w:rFonts w:ascii="Calibri" w:hAnsi="Calibri"/>
                <w:b w:val="0"/>
                <w:color w:val="1A1A1A"/>
                <w:sz w:val="24"/>
              </w:rPr>
              <w:t>Data da próxima reunião</w:t>
            </w:r>
          </w:p>
        </w:tc>
        <w:tc>
          <w:tcPr>
            <w:tcW w:type="dxa" w:w="4761"/>
            <w:shd w:val="clear" w:color="auto" w:fill="F2F5F8"/>
          </w:tcPr>
          <w:p>
            <w:pPr>
              <w:spacing w:after="0"/>
              <w:jc w:val="left"/>
            </w:pPr>
            <w:r/>
            <w:r>
              <w:rPr>
                <w:rFonts w:ascii="Calibri" w:hAnsi="Calibri"/>
                <w:b w:val="0"/>
                <w:color w:val="1A1A1A"/>
                <w:sz w:val="24"/>
              </w:rPr>
              <w:t>___</w:t>
            </w:r>
          </w:p>
        </w:tc>
      </w:tr>
    </w:tbl>
    <w:p>
      <w:pPr>
        <w:spacing w:after="12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43"/>
        <w:gridCol w:w="3515"/>
        <w:gridCol w:w="1614"/>
      </w:tblGrid>
      <w:tr>
        <w:trPr>
          <w:cantSplit/>
          <w:tblHeader/>
        </w:trPr>
        <w:tc>
          <w:tcPr>
            <w:tcW w:type="dxa" w:w="3943"/>
            <w:shd w:val="clear" w:color="auto" w:fill="143C64"/>
          </w:tcPr>
          <w:p>
            <w:pPr>
              <w:spacing w:after="0"/>
              <w:jc w:val="left"/>
            </w:pPr>
            <w:r/>
            <w:r>
              <w:rPr>
                <w:rFonts w:ascii="Calibri" w:hAnsi="Calibri"/>
                <w:b/>
                <w:color w:val="FFFFFF"/>
                <w:sz w:val="24"/>
              </w:rPr>
              <w:t>Assinatura</w:t>
            </w:r>
          </w:p>
        </w:tc>
        <w:tc>
          <w:tcPr>
            <w:tcW w:type="dxa" w:w="3515"/>
            <w:shd w:val="clear" w:color="auto" w:fill="143C64"/>
          </w:tcPr>
          <w:p>
            <w:pPr>
              <w:spacing w:after="0"/>
              <w:jc w:val="left"/>
            </w:pPr>
            <w:r/>
            <w:r>
              <w:rPr>
                <w:rFonts w:ascii="Calibri" w:hAnsi="Calibri"/>
                <w:b/>
                <w:color w:val="FFFFFF"/>
                <w:sz w:val="24"/>
              </w:rPr>
              <w:t>Nome e inscrição</w:t>
            </w:r>
          </w:p>
        </w:tc>
        <w:tc>
          <w:tcPr>
            <w:tcW w:type="dxa" w:w="1614"/>
            <w:shd w:val="clear" w:color="auto" w:fill="143C64"/>
          </w:tcPr>
          <w:p>
            <w:pPr>
              <w:spacing w:after="0"/>
              <w:jc w:val="left"/>
            </w:pPr>
            <w:r/>
            <w:r>
              <w:rPr>
                <w:rFonts w:ascii="Calibri" w:hAnsi="Calibri"/>
                <w:b/>
                <w:color w:val="FFFFFF"/>
                <w:sz w:val="24"/>
              </w:rPr>
              <w:t>Data</w:t>
            </w:r>
          </w:p>
        </w:tc>
      </w:tr>
      <w:tr>
        <w:trPr>
          <w:cantSplit/>
        </w:trPr>
        <w:tc>
          <w:tcPr>
            <w:tcW w:type="dxa" w:w="3943"/>
          </w:tcPr>
          <w:p>
            <w:pPr>
              <w:spacing w:after="0"/>
              <w:jc w:val="left"/>
            </w:pPr>
            <w:r/>
            <w:r>
              <w:rPr>
                <w:rFonts w:ascii="Calibri" w:hAnsi="Calibri"/>
                <w:b w:val="0"/>
                <w:color w:val="1A1A1A"/>
                <w:sz w:val="24"/>
              </w:rPr>
              <w:t>Presidência do Núcleo 5</w:t>
            </w:r>
          </w:p>
        </w:tc>
        <w:tc>
          <w:tcPr>
            <w:tcW w:type="dxa" w:w="3515"/>
          </w:tcPr>
          <w:p>
            <w:pPr>
              <w:spacing w:after="0"/>
              <w:jc w:val="left"/>
            </w:pPr>
            <w:r/>
            <w:r>
              <w:rPr>
                <w:rFonts w:ascii="Calibri" w:hAnsi="Calibri"/>
                <w:b w:val="0"/>
                <w:color w:val="1A1A1A"/>
                <w:sz w:val="24"/>
              </w:rPr>
              <w:t>___</w:t>
            </w:r>
          </w:p>
        </w:tc>
        <w:tc>
          <w:tcPr>
            <w:tcW w:type="dxa" w:w="1614"/>
          </w:tcPr>
          <w:p>
            <w:pPr>
              <w:spacing w:after="0"/>
              <w:jc w:val="left"/>
            </w:pPr>
            <w:r/>
            <w:r>
              <w:rPr>
                <w:rFonts w:ascii="Calibri" w:hAnsi="Calibri"/>
                <w:b w:val="0"/>
                <w:color w:val="1A1A1A"/>
                <w:sz w:val="24"/>
              </w:rPr>
              <w:t>___</w:t>
            </w:r>
          </w:p>
        </w:tc>
      </w:tr>
      <w:tr>
        <w:trPr>
          <w:cantSplit/>
        </w:trPr>
        <w:tc>
          <w:tcPr>
            <w:tcW w:type="dxa" w:w="3943"/>
            <w:shd w:val="clear" w:color="auto" w:fill="F2F5F8"/>
          </w:tcPr>
          <w:p>
            <w:pPr>
              <w:spacing w:after="0"/>
              <w:jc w:val="left"/>
            </w:pPr>
            <w:r/>
            <w:r>
              <w:rPr>
                <w:rFonts w:ascii="Calibri" w:hAnsi="Calibri"/>
                <w:b w:val="0"/>
                <w:color w:val="1A1A1A"/>
                <w:sz w:val="24"/>
              </w:rPr>
              <w:t>Vice-Presidência do Núcleo 5</w:t>
            </w:r>
          </w:p>
        </w:tc>
        <w:tc>
          <w:tcPr>
            <w:tcW w:type="dxa" w:w="3515"/>
            <w:shd w:val="clear" w:color="auto" w:fill="F2F5F8"/>
          </w:tcPr>
          <w:p>
            <w:pPr>
              <w:spacing w:after="0"/>
              <w:jc w:val="left"/>
            </w:pPr>
            <w:r/>
            <w:r>
              <w:rPr>
                <w:rFonts w:ascii="Calibri" w:hAnsi="Calibri"/>
                <w:b w:val="0"/>
                <w:color w:val="1A1A1A"/>
                <w:sz w:val="24"/>
              </w:rPr>
              <w:t>___</w:t>
            </w:r>
          </w:p>
        </w:tc>
        <w:tc>
          <w:tcPr>
            <w:tcW w:type="dxa" w:w="1614"/>
            <w:shd w:val="clear" w:color="auto" w:fill="F2F5F8"/>
          </w:tcPr>
          <w:p>
            <w:pPr>
              <w:spacing w:after="0"/>
              <w:jc w:val="left"/>
            </w:pPr>
            <w:r/>
            <w:r>
              <w:rPr>
                <w:rFonts w:ascii="Calibri" w:hAnsi="Calibri"/>
                <w:b w:val="0"/>
                <w:color w:val="1A1A1A"/>
                <w:sz w:val="24"/>
              </w:rPr>
              <w:t>___</w:t>
            </w:r>
          </w:p>
        </w:tc>
      </w:tr>
      <w:tr>
        <w:trPr>
          <w:cantSplit/>
        </w:trPr>
        <w:tc>
          <w:tcPr>
            <w:tcW w:type="dxa" w:w="3943"/>
          </w:tcPr>
          <w:p>
            <w:pPr>
              <w:spacing w:after="0"/>
              <w:jc w:val="left"/>
            </w:pPr>
            <w:r/>
            <w:r>
              <w:rPr>
                <w:rFonts w:ascii="Calibri" w:hAnsi="Calibri"/>
                <w:b w:val="0"/>
                <w:color w:val="1A1A1A"/>
                <w:sz w:val="24"/>
              </w:rPr>
              <w:t>Secretaria do Núcleo 5</w:t>
            </w:r>
          </w:p>
        </w:tc>
        <w:tc>
          <w:tcPr>
            <w:tcW w:type="dxa" w:w="3515"/>
          </w:tcPr>
          <w:p>
            <w:pPr>
              <w:spacing w:after="0"/>
              <w:jc w:val="left"/>
            </w:pPr>
            <w:r/>
            <w:r>
              <w:rPr>
                <w:rFonts w:ascii="Calibri" w:hAnsi="Calibri"/>
                <w:b w:val="0"/>
                <w:color w:val="1A1A1A"/>
                <w:sz w:val="24"/>
              </w:rPr>
              <w:t>___</w:t>
            </w:r>
          </w:p>
        </w:tc>
        <w:tc>
          <w:tcPr>
            <w:tcW w:type="dxa" w:w="1614"/>
          </w:tcPr>
          <w:p>
            <w:pPr>
              <w:spacing w:after="0"/>
              <w:jc w:val="left"/>
            </w:pPr>
            <w:r/>
            <w:r>
              <w:rPr>
                <w:rFonts w:ascii="Calibri" w:hAnsi="Calibri"/>
                <w:b w:val="0"/>
                <w:color w:val="1A1A1A"/>
                <w:sz w:val="24"/>
              </w:rPr>
              <w:t>___</w:t>
            </w:r>
          </w:p>
        </w:tc>
      </w:tr>
      <w:tr>
        <w:trPr>
          <w:cantSplit/>
        </w:trPr>
        <w:tc>
          <w:tcPr>
            <w:tcW w:type="dxa" w:w="3943"/>
            <w:shd w:val="clear" w:color="auto" w:fill="F2F5F8"/>
          </w:tcPr>
          <w:p>
            <w:pPr>
              <w:spacing w:after="0"/>
              <w:jc w:val="left"/>
            </w:pPr>
            <w:r/>
            <w:r>
              <w:rPr>
                <w:rFonts w:ascii="Calibri" w:hAnsi="Calibri"/>
                <w:b w:val="0"/>
                <w:color w:val="1A1A1A"/>
                <w:sz w:val="24"/>
              </w:rPr>
              <w:t>Demais presentes</w:t>
            </w:r>
          </w:p>
        </w:tc>
        <w:tc>
          <w:tcPr>
            <w:tcW w:type="dxa" w:w="3515"/>
            <w:shd w:val="clear" w:color="auto" w:fill="F2F5F8"/>
          </w:tcPr>
          <w:p>
            <w:pPr>
              <w:spacing w:after="0"/>
              <w:jc w:val="left"/>
            </w:pPr>
            <w:r/>
            <w:r>
              <w:rPr>
                <w:rFonts w:ascii="Calibri" w:hAnsi="Calibri"/>
                <w:b w:val="0"/>
                <w:color w:val="1A1A1A"/>
                <w:sz w:val="24"/>
              </w:rPr>
              <w:t>___</w:t>
            </w:r>
          </w:p>
        </w:tc>
        <w:tc>
          <w:tcPr>
            <w:tcW w:type="dxa" w:w="1614"/>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N5-ATA-01 · Caderno de Atas e Controle de Reuniões · versão 1.0 · instrumento de governança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N5-ATA-01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