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DE VERIFICAÇÃO OPERACIONAL</w:t>
      </w:r>
    </w:p>
    <w:p>
      <w:pPr>
        <w:spacing w:after="160"/>
        <w:jc w:val="center"/>
      </w:pPr>
      <w:r>
        <w:rPr>
          <w:rFonts w:ascii="Calibri" w:hAnsi="Calibri"/>
          <w:b/>
          <w:color w:val="143C64"/>
          <w:sz w:val="48"/>
        </w:rPr>
        <w:t>Checklist de Segurança Clínica</w:t>
      </w:r>
    </w:p>
    <w:p>
      <w:pPr>
        <w:spacing w:after="720"/>
        <w:jc w:val="center"/>
      </w:pPr>
      <w:r>
        <w:rPr>
          <w:rFonts w:ascii="Calibri" w:hAnsi="Calibri"/>
          <w:b w:val="0"/>
          <w:i w:val="0"/>
          <w:color w:val="444A52"/>
          <w:sz w:val="26"/>
        </w:rPr>
        <w:t>Verificações mínimas antes, durante e após procedimentos de Harmonização Orofacial, com pausa de segurança, registro de rastreabilidade e verificação do kit de resposta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N5-CHK-01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2.0</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25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Consolidado para revisão interna e validação institucional</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Finalidade e fundamento</w:t>
      </w:r>
    </w:p>
    <w:p>
      <w:pPr>
        <w:spacing w:after="120"/>
        <w:jc w:val="both"/>
      </w:pPr>
      <w:r>
        <w:rPr>
          <w:rFonts w:ascii="Calibri" w:hAnsi="Calibri"/>
          <w:b w:val="0"/>
          <w:i w:val="0"/>
          <w:color w:val="1A1A1A"/>
          <w:sz w:val="24"/>
        </w:rPr>
        <w:t>Este checklist padroniza as verificações mínimas de segurança e opera a camada 1 do Fluxograma Estadual. Seu objetivo é reduzir falhas de processo, aumentar a rastreabilidade e facilitar o reconhecimento precoce de sinais de alerta. Não substitui avaliação clínica, julgamento profissional, POP específico ou treinamento.</w:t>
      </w:r>
    </w:p>
    <w:p>
      <w:pPr>
        <w:spacing w:after="120"/>
        <w:jc w:val="both"/>
      </w:pPr>
      <w:r>
        <w:rPr>
          <w:rFonts w:ascii="Calibri" w:hAnsi="Calibri"/>
          <w:b w:val="0"/>
          <w:i w:val="0"/>
          <w:color w:val="1A1A1A"/>
          <w:sz w:val="24"/>
        </w:rPr>
        <w:t>EXIGÊNCIA NORMATIVA. A RDC Anvisa nº 1.002, de 15 de dezembro de 2025, dispõe sobre os requisitos de Boas Práticas de Funcionamento para os serviços que prestam assistência odontológica e determina, em seu artigo 110, que o Responsável Técnico elabore e implemente uma Série de Documentos de Boas Práticas de Funcionamento contendo rotinas, protocolos técnicos padronizados, procedimentos operacionais padrão e planos do serviço. Este checklist integra essa série documental. Fonte consultada e verificada em 25 de agosto de 2026.</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Checklist universal de segurança</w:t>
      </w:r>
    </w:p>
    <w:p>
      <w:pPr>
        <w:spacing w:after="120"/>
        <w:jc w:val="both"/>
      </w:pPr>
      <w:r>
        <w:rPr>
          <w:rFonts w:ascii="Calibri" w:hAnsi="Calibri"/>
          <w:b w:val="0"/>
          <w:i w:val="0"/>
          <w:color w:val="1A1A1A"/>
          <w:sz w:val="24"/>
        </w:rPr>
        <w:t>Os cinco blocos abaixo devem ser percorridos na ordem. Item não verificado é pendência, não item dispensado.</w:t>
      </w:r>
    </w:p>
    <w:p>
      <w:pPr>
        <w:keepNext/>
        <w:spacing w:before="240" w:after="80"/>
        <w:jc w:val="left"/>
      </w:pPr>
      <w:r>
        <w:rPr>
          <w:rFonts w:ascii="Calibri" w:hAnsi="Calibri"/>
          <w:b/>
          <w:color w:val="143C64"/>
          <w:sz w:val="26"/>
        </w:rPr>
        <w:t>2.1  Bloco A. Antes do atendimento</w:t>
      </w:r>
    </w:p>
    <w:p>
      <w:pPr>
        <w:pStyle w:val="ListBullet"/>
        <w:spacing w:after="60"/>
        <w:ind w:left="397"/>
        <w:jc w:val="both"/>
      </w:pPr>
      <w:r>
        <w:rPr>
          <w:rFonts w:ascii="Calibri" w:hAnsi="Calibri"/>
          <w:color w:val="1A1A1A"/>
          <w:sz w:val="24"/>
        </w:rPr>
        <w:t>☐  Identificação do paciente confirmada e prontuário disponível.</w:t>
      </w:r>
    </w:p>
    <w:p>
      <w:pPr>
        <w:pStyle w:val="ListBullet"/>
        <w:spacing w:after="60"/>
        <w:ind w:left="397"/>
        <w:jc w:val="both"/>
      </w:pPr>
      <w:r>
        <w:rPr>
          <w:rFonts w:ascii="Calibri" w:hAnsi="Calibri"/>
          <w:color w:val="1A1A1A"/>
          <w:sz w:val="24"/>
        </w:rPr>
        <w:t>☐  Anamnese atualizada, incluindo comorbidades, alergias, medicações em uso, anticoagulantes e antiagregantes, e antecedentes relevantes.</w:t>
      </w:r>
    </w:p>
    <w:p>
      <w:pPr>
        <w:pStyle w:val="ListBullet"/>
        <w:spacing w:after="60"/>
        <w:ind w:left="397"/>
        <w:jc w:val="both"/>
      </w:pPr>
      <w:r>
        <w:rPr>
          <w:rFonts w:ascii="Calibri" w:hAnsi="Calibri"/>
          <w:color w:val="1A1A1A"/>
          <w:sz w:val="24"/>
        </w:rPr>
        <w:t>☐  Procedimentos prévios e materiais já aplicados na região investigados e registrados.</w:t>
      </w:r>
    </w:p>
    <w:p>
      <w:pPr>
        <w:pStyle w:val="ListBullet"/>
        <w:spacing w:after="60"/>
        <w:ind w:left="397"/>
        <w:jc w:val="both"/>
      </w:pPr>
      <w:r>
        <w:rPr>
          <w:rFonts w:ascii="Calibri" w:hAnsi="Calibri"/>
          <w:color w:val="1A1A1A"/>
          <w:sz w:val="24"/>
        </w:rPr>
        <w:t>☐  Indicação, objetivos, alternativas e riscos discutidos e documentados.</w:t>
      </w:r>
    </w:p>
    <w:p>
      <w:pPr>
        <w:pStyle w:val="ListBullet"/>
        <w:spacing w:after="60"/>
        <w:ind w:left="397"/>
        <w:jc w:val="both"/>
      </w:pPr>
      <w:r>
        <w:rPr>
          <w:rFonts w:ascii="Calibri" w:hAnsi="Calibri"/>
          <w:color w:val="1A1A1A"/>
          <w:sz w:val="24"/>
        </w:rPr>
        <w:t>☐  Consentimento específico assinado, com registro separado para uso de imagem quando aplicável.</w:t>
      </w:r>
    </w:p>
    <w:p>
      <w:pPr>
        <w:keepNext/>
        <w:spacing w:before="240" w:after="80"/>
        <w:jc w:val="left"/>
      </w:pPr>
      <w:r>
        <w:rPr>
          <w:rFonts w:ascii="Calibri" w:hAnsi="Calibri"/>
          <w:b/>
          <w:color w:val="143C64"/>
          <w:sz w:val="26"/>
        </w:rPr>
        <w:t>2.2  Bloco B. Produto, equipamento e ambiente</w:t>
      </w:r>
    </w:p>
    <w:p>
      <w:pPr>
        <w:pStyle w:val="ListBullet"/>
        <w:spacing w:after="60"/>
        <w:ind w:left="397"/>
        <w:jc w:val="both"/>
      </w:pPr>
      <w:r>
        <w:rPr>
          <w:rFonts w:ascii="Calibri" w:hAnsi="Calibri"/>
          <w:color w:val="1A1A1A"/>
          <w:sz w:val="24"/>
        </w:rPr>
        <w:t>☐  Produto ou equipamento regularizado, com situação consultada em fonte oficial e data da consulta registrada.</w:t>
      </w:r>
    </w:p>
    <w:p>
      <w:pPr>
        <w:pStyle w:val="ListBullet"/>
        <w:spacing w:after="60"/>
        <w:ind w:left="397"/>
        <w:jc w:val="both"/>
      </w:pPr>
      <w:r>
        <w:rPr>
          <w:rFonts w:ascii="Calibri" w:hAnsi="Calibri"/>
          <w:color w:val="1A1A1A"/>
          <w:sz w:val="24"/>
        </w:rPr>
        <w:t>☐  Lote, validade, número de série e demais dados de rastreabilidade disponíveis.</w:t>
      </w:r>
    </w:p>
    <w:p>
      <w:pPr>
        <w:pStyle w:val="ListBullet"/>
        <w:spacing w:after="60"/>
        <w:ind w:left="397"/>
        <w:jc w:val="both"/>
      </w:pPr>
      <w:r>
        <w:rPr>
          <w:rFonts w:ascii="Calibri" w:hAnsi="Calibri"/>
          <w:color w:val="1A1A1A"/>
          <w:sz w:val="24"/>
        </w:rPr>
        <w:t>☐  Instruções de uso acessíveis e parâmetros conferidos.</w:t>
      </w:r>
    </w:p>
    <w:p>
      <w:pPr>
        <w:pStyle w:val="ListBullet"/>
        <w:spacing w:after="60"/>
        <w:ind w:left="397"/>
        <w:jc w:val="both"/>
      </w:pPr>
      <w:r>
        <w:rPr>
          <w:rFonts w:ascii="Calibri" w:hAnsi="Calibri"/>
          <w:color w:val="1A1A1A"/>
          <w:sz w:val="24"/>
        </w:rPr>
        <w:t>☐  Manutenção, verificação de desempenho e documentação técnica em dia, segundo fabricante, norma aplicável e Plano de Gerenciamento do serviço.</w:t>
      </w:r>
    </w:p>
    <w:p>
      <w:pPr>
        <w:pStyle w:val="ListBullet"/>
        <w:spacing w:after="60"/>
        <w:ind w:left="397"/>
        <w:jc w:val="both"/>
      </w:pPr>
      <w:r>
        <w:rPr>
          <w:rFonts w:ascii="Calibri" w:hAnsi="Calibri"/>
          <w:color w:val="1A1A1A"/>
          <w:sz w:val="24"/>
        </w:rPr>
        <w:t>☐  Recursos de resposta a intercorrência disponíveis, dentro da validade e conferidos conforme a seção 3.</w:t>
      </w:r>
    </w:p>
    <w:p>
      <w:pPr>
        <w:keepNext/>
        <w:spacing w:before="240" w:after="80"/>
        <w:jc w:val="left"/>
      </w:pPr>
      <w:r>
        <w:rPr>
          <w:rFonts w:ascii="Calibri" w:hAnsi="Calibri"/>
          <w:b/>
          <w:color w:val="143C64"/>
          <w:sz w:val="26"/>
        </w:rPr>
        <w:t>2.4  Bloco C. Pausa de segurança, imediatamente antes</w:t>
      </w:r>
    </w:p>
    <w:p>
      <w:pPr>
        <w:spacing w:after="120"/>
        <w:jc w:val="both"/>
      </w:pPr>
      <w:r>
        <w:rPr>
          <w:rFonts w:ascii="Calibri" w:hAnsi="Calibri"/>
          <w:b w:val="0"/>
          <w:i w:val="0"/>
          <w:color w:val="1A1A1A"/>
          <w:sz w:val="24"/>
        </w:rPr>
        <w:t>A pausa de segurança é um momento formal e verbalizado, não uma conferência mental. Ela ocorre com o paciente já posicionado e antes do primeiro ato do procedimento.</w:t>
      </w:r>
    </w:p>
    <w:p>
      <w:pPr>
        <w:pStyle w:val="ListBullet"/>
        <w:spacing w:after="60"/>
        <w:ind w:left="397"/>
        <w:jc w:val="both"/>
      </w:pPr>
      <w:r>
        <w:rPr>
          <w:rFonts w:ascii="Calibri" w:hAnsi="Calibri"/>
          <w:color w:val="1A1A1A"/>
          <w:sz w:val="24"/>
        </w:rPr>
        <w:t>☐  Paciente, procedimento, região e lado confirmados em voz alta.</w:t>
      </w:r>
    </w:p>
    <w:p>
      <w:pPr>
        <w:pStyle w:val="ListBullet"/>
        <w:spacing w:after="60"/>
        <w:ind w:left="397"/>
        <w:jc w:val="both"/>
      </w:pPr>
      <w:r>
        <w:rPr>
          <w:rFonts w:ascii="Calibri" w:hAnsi="Calibri"/>
          <w:color w:val="1A1A1A"/>
          <w:sz w:val="24"/>
        </w:rPr>
        <w:t>☐  Plano de tratamento e parâmetros confirmados.</w:t>
      </w:r>
    </w:p>
    <w:p>
      <w:pPr>
        <w:pStyle w:val="ListBullet"/>
        <w:spacing w:after="60"/>
        <w:ind w:left="397"/>
        <w:jc w:val="both"/>
      </w:pPr>
      <w:r>
        <w:rPr>
          <w:rFonts w:ascii="Calibri" w:hAnsi="Calibri"/>
          <w:color w:val="1A1A1A"/>
          <w:sz w:val="24"/>
        </w:rPr>
        <w:t>☐  Equipe ciente dos sinais que determinam interrupção e do fluxo de urgência.</w:t>
      </w:r>
    </w:p>
    <w:p>
      <w:pPr>
        <w:pStyle w:val="ListBullet"/>
        <w:spacing w:after="60"/>
        <w:ind w:left="397"/>
        <w:jc w:val="both"/>
      </w:pPr>
      <w:r>
        <w:rPr>
          <w:rFonts w:ascii="Calibri" w:hAnsi="Calibri"/>
          <w:color w:val="1A1A1A"/>
          <w:sz w:val="24"/>
        </w:rPr>
        <w:t>☐  Rota de encaminhamento e contato de urgência acessíveis, incluindo a rota oftalmológica e neurológica.</w:t>
      </w:r>
    </w:p>
    <w:p>
      <w:pPr>
        <w:pStyle w:val="ListBullet"/>
        <w:spacing w:after="60"/>
        <w:ind w:left="397"/>
        <w:jc w:val="both"/>
      </w:pPr>
      <w:r>
        <w:rPr>
          <w:rFonts w:ascii="Calibri" w:hAnsi="Calibri"/>
          <w:color w:val="1A1A1A"/>
          <w:sz w:val="24"/>
        </w:rPr>
        <w:t>☐  Registro fotográfico ou documental realizado quando indicado.</w:t>
      </w:r>
    </w:p>
    <w:p>
      <w:pPr>
        <w:keepNext/>
        <w:spacing w:before="240" w:after="80"/>
        <w:jc w:val="left"/>
      </w:pPr>
      <w:r>
        <w:rPr>
          <w:rFonts w:ascii="Calibri" w:hAnsi="Calibri"/>
          <w:b/>
          <w:color w:val="143C64"/>
          <w:sz w:val="26"/>
        </w:rPr>
        <w:t>2.5  Bloco D. Durante o procedimento</w:t>
      </w:r>
    </w:p>
    <w:p>
      <w:pPr>
        <w:pStyle w:val="ListBullet"/>
        <w:spacing w:after="60"/>
        <w:ind w:left="397"/>
        <w:jc w:val="both"/>
      </w:pPr>
      <w:r>
        <w:rPr>
          <w:rFonts w:ascii="Calibri" w:hAnsi="Calibri"/>
          <w:color w:val="1A1A1A"/>
          <w:sz w:val="24"/>
        </w:rPr>
        <w:t>☐  Execução conforme POP e dentro da capacitação do operador.</w:t>
      </w:r>
    </w:p>
    <w:p>
      <w:pPr>
        <w:pStyle w:val="ListBullet"/>
        <w:spacing w:after="60"/>
        <w:ind w:left="397"/>
        <w:jc w:val="both"/>
      </w:pPr>
      <w:r>
        <w:rPr>
          <w:rFonts w:ascii="Calibri" w:hAnsi="Calibri"/>
          <w:color w:val="1A1A1A"/>
          <w:sz w:val="24"/>
        </w:rPr>
        <w:t>☐  Monitoramento contínuo de sinais clínicos e do relato do paciente.</w:t>
      </w:r>
    </w:p>
    <w:p>
      <w:pPr>
        <w:pStyle w:val="ListBullet"/>
        <w:spacing w:after="60"/>
        <w:ind w:left="397"/>
        <w:jc w:val="both"/>
      </w:pPr>
      <w:r>
        <w:rPr>
          <w:rFonts w:ascii="Calibri" w:hAnsi="Calibri"/>
          <w:color w:val="1A1A1A"/>
          <w:sz w:val="24"/>
        </w:rPr>
        <w:t>☐  Interrupção imediata diante de sinal de alerta relevante, com registro do horário.</w:t>
      </w:r>
    </w:p>
    <w:p>
      <w:pPr>
        <w:pStyle w:val="ListBullet"/>
        <w:spacing w:after="60"/>
        <w:ind w:left="397"/>
        <w:jc w:val="both"/>
      </w:pPr>
      <w:r>
        <w:rPr>
          <w:rFonts w:ascii="Calibri" w:hAnsi="Calibri"/>
          <w:color w:val="1A1A1A"/>
          <w:sz w:val="24"/>
        </w:rPr>
        <w:t>☐  Registro de produto, lote, região, volume ou parâmetros e intercorrências.</w:t>
      </w:r>
    </w:p>
    <w:p>
      <w:pPr>
        <w:keepNext/>
        <w:spacing w:before="240" w:after="80"/>
        <w:jc w:val="left"/>
      </w:pPr>
      <w:r>
        <w:rPr>
          <w:rFonts w:ascii="Calibri" w:hAnsi="Calibri"/>
          <w:b/>
          <w:color w:val="143C64"/>
          <w:sz w:val="26"/>
        </w:rPr>
        <w:t>2.3  Bloco B2. Biossegurança e processamento</w:t>
      </w:r>
    </w:p>
    <w:p>
      <w:pPr>
        <w:spacing w:after="120"/>
        <w:jc w:val="both"/>
      </w:pPr>
      <w:r>
        <w:rPr>
          <w:rFonts w:ascii="Calibri" w:hAnsi="Calibri"/>
          <w:b w:val="0"/>
          <w:i w:val="0"/>
          <w:color w:val="1A1A1A"/>
          <w:sz w:val="24"/>
        </w:rPr>
        <w:t>Bloco acrescentado a partir de contribuição interna ao grupo de trabalho. Aplica-se a todo procedimento e, quando houver equipamento de contato com o paciente, também ao seu processamento entre atendimentos.</w:t>
      </w:r>
    </w:p>
    <w:p>
      <w:pPr>
        <w:pStyle w:val="ListBullet"/>
        <w:spacing w:after="60"/>
        <w:ind w:left="397"/>
        <w:jc w:val="both"/>
      </w:pPr>
      <w:r>
        <w:rPr>
          <w:rFonts w:ascii="Calibri" w:hAnsi="Calibri"/>
          <w:color w:val="1A1A1A"/>
          <w:sz w:val="24"/>
        </w:rPr>
        <w:t>☐  Higienização das mãos realizada conforme protocolo, antes e após o procedimento.</w:t>
      </w:r>
    </w:p>
    <w:p>
      <w:pPr>
        <w:pStyle w:val="ListBullet"/>
        <w:spacing w:after="60"/>
        <w:ind w:left="397"/>
        <w:jc w:val="both"/>
      </w:pPr>
      <w:r>
        <w:rPr>
          <w:rFonts w:ascii="Calibri" w:hAnsi="Calibri"/>
          <w:color w:val="1A1A1A"/>
          <w:sz w:val="24"/>
        </w:rPr>
        <w:t>☐  Equipamentos de proteção individual adequados em uso pela equipe.</w:t>
      </w:r>
    </w:p>
    <w:p>
      <w:pPr>
        <w:pStyle w:val="ListBullet"/>
        <w:spacing w:after="60"/>
        <w:ind w:left="397"/>
        <w:jc w:val="both"/>
      </w:pPr>
      <w:r>
        <w:rPr>
          <w:rFonts w:ascii="Calibri" w:hAnsi="Calibri"/>
          <w:color w:val="1A1A1A"/>
          <w:sz w:val="24"/>
        </w:rPr>
        <w:t>☐  Superfícies e equipamentos limpos e desinfetados antes do atendimento.</w:t>
      </w:r>
    </w:p>
    <w:p>
      <w:pPr>
        <w:pStyle w:val="ListBullet"/>
        <w:spacing w:after="60"/>
        <w:ind w:left="397"/>
        <w:jc w:val="both"/>
      </w:pPr>
      <w:r>
        <w:rPr>
          <w:rFonts w:ascii="Calibri" w:hAnsi="Calibri"/>
          <w:color w:val="1A1A1A"/>
          <w:sz w:val="24"/>
        </w:rPr>
        <w:t>☐  Materiais perfurocortantes descartados em recipiente apropriado e dentro do limite de preenchimento.</w:t>
      </w:r>
    </w:p>
    <w:p>
      <w:pPr>
        <w:pStyle w:val="ListBullet"/>
        <w:spacing w:after="60"/>
        <w:ind w:left="397"/>
        <w:jc w:val="both"/>
      </w:pPr>
      <w:r>
        <w:rPr>
          <w:rFonts w:ascii="Calibri" w:hAnsi="Calibri"/>
          <w:color w:val="1A1A1A"/>
          <w:sz w:val="24"/>
        </w:rPr>
        <w:t>☐  Equipamento de contato com o paciente limpo imediatamente após o uso anterior e desinfetado conforme protocolo do fabricante e norma sanitária.</w:t>
      </w:r>
    </w:p>
    <w:p>
      <w:pPr>
        <w:pStyle w:val="ListBullet"/>
        <w:spacing w:after="60"/>
        <w:ind w:left="397"/>
        <w:jc w:val="both"/>
      </w:pPr>
      <w:r>
        <w:rPr>
          <w:rFonts w:ascii="Calibri" w:hAnsi="Calibri"/>
          <w:color w:val="1A1A1A"/>
          <w:sz w:val="24"/>
        </w:rPr>
        <w:t>☐  Equipamento armazenado em local adequado e protegido, com manutenção preventiva em dia.</w:t>
      </w:r>
    </w:p>
    <w:p>
      <w:pPr>
        <w:keepNext/>
        <w:spacing w:before="240" w:after="80"/>
        <w:jc w:val="left"/>
      </w:pPr>
      <w:r>
        <w:rPr>
          <w:rFonts w:ascii="Calibri" w:hAnsi="Calibri"/>
          <w:b/>
          <w:color w:val="143C64"/>
          <w:sz w:val="26"/>
        </w:rPr>
        <w:t>2.6  Bloco E. Alta e acompanhamento</w:t>
      </w:r>
    </w:p>
    <w:p>
      <w:pPr>
        <w:pStyle w:val="ListBullet"/>
        <w:spacing w:after="60"/>
        <w:ind w:left="397"/>
        <w:jc w:val="both"/>
      </w:pPr>
      <w:r>
        <w:rPr>
          <w:rFonts w:ascii="Calibri" w:hAnsi="Calibri"/>
          <w:color w:val="1A1A1A"/>
          <w:sz w:val="24"/>
        </w:rPr>
        <w:t>☐  Orientações pós-procedimento fornecidas por escrito, em linguagem clara.</w:t>
      </w:r>
    </w:p>
    <w:p>
      <w:pPr>
        <w:pStyle w:val="ListBullet"/>
        <w:spacing w:after="60"/>
        <w:ind w:left="397"/>
        <w:jc w:val="both"/>
      </w:pPr>
      <w:r>
        <w:rPr>
          <w:rFonts w:ascii="Calibri" w:hAnsi="Calibri"/>
          <w:color w:val="1A1A1A"/>
          <w:sz w:val="24"/>
        </w:rPr>
        <w:t>☐  Sinais de alerta e canal de contato imediato informados, com conduta caso o profissional não seja localizado.</w:t>
      </w:r>
    </w:p>
    <w:p>
      <w:pPr>
        <w:pStyle w:val="ListBullet"/>
        <w:spacing w:after="60"/>
        <w:ind w:left="397"/>
        <w:jc w:val="both"/>
      </w:pPr>
      <w:r>
        <w:rPr>
          <w:rFonts w:ascii="Calibri" w:hAnsi="Calibri"/>
          <w:color w:val="1A1A1A"/>
          <w:sz w:val="24"/>
        </w:rPr>
        <w:t>☐  Plano de reavaliação definido e registrado.</w:t>
      </w:r>
    </w:p>
    <w:p>
      <w:pPr>
        <w:pStyle w:val="ListBullet"/>
        <w:spacing w:after="60"/>
        <w:ind w:left="397"/>
        <w:jc w:val="both"/>
      </w:pPr>
      <w:r>
        <w:rPr>
          <w:rFonts w:ascii="Calibri" w:hAnsi="Calibri"/>
          <w:color w:val="1A1A1A"/>
          <w:sz w:val="24"/>
        </w:rPr>
        <w:t>☐  Contato ativo programado quando indicado pelo risco do procedimento.</w:t>
      </w:r>
    </w:p>
    <w:p>
      <w:pPr>
        <w:pStyle w:val="ListBullet"/>
        <w:spacing w:after="60"/>
        <w:ind w:left="397"/>
        <w:jc w:val="both"/>
      </w:pPr>
      <w:r>
        <w:rPr>
          <w:rFonts w:ascii="Calibri" w:hAnsi="Calibri"/>
          <w:color w:val="1A1A1A"/>
          <w:sz w:val="24"/>
        </w:rPr>
        <w:t>☐  Evento adverso ou queixa técnica documentado e avaliado quanto à necessidade de notificação sanitária.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Regra de interrupção</w:t>
            </w:r>
          </w:p>
          <w:p>
            <w:pPr>
              <w:spacing w:after="0"/>
              <w:jc w:val="both"/>
            </w:pPr>
            <w:r>
              <w:rPr>
                <w:rFonts w:ascii="Calibri" w:hAnsi="Calibri"/>
                <w:color w:val="1A1A1A"/>
                <w:sz w:val="24"/>
              </w:rPr>
              <w:t>O procedimento deve ser interrompido sempre que surgir sinal de alerta incompatível com a evolução esperada, seguindo o POP e o fluxograma específico. Em situações de urgência, a obtenção de exame complementar não deve atrasar o encaminhamento ou a conduta imediata indicada.</w:t>
            </w:r>
          </w:p>
        </w:tc>
      </w:tr>
    </w:tbl>
    <w:p>
      <w:pPr>
        <w:spacing w:after="80"/>
      </w:pPr>
    </w:p>
    <w:p>
      <w:r>
        <w:br w:type="page"/>
      </w:r>
    </w:p>
    <w:p>
      <w:pPr>
        <w:keepNext/>
        <w:spacing w:before="360" w:after="160"/>
        <w:jc w:val="left"/>
        <w:pBdr>
          <w:bottom w:val="single" w:sz="8" w:space="4" w:color="143C64"/>
        </w:pBdr>
      </w:pPr>
      <w:r>
        <w:rPr>
          <w:rFonts w:ascii="Calibri" w:hAnsi="Calibri"/>
          <w:b/>
          <w:color w:val="143C64"/>
          <w:sz w:val="30"/>
        </w:rPr>
        <w:t>3  Verificação do kit de resposta a intercorrências</w:t>
      </w:r>
    </w:p>
    <w:p>
      <w:pPr>
        <w:spacing w:after="120"/>
        <w:jc w:val="both"/>
      </w:pPr>
      <w:r>
        <w:rPr>
          <w:rFonts w:ascii="Calibri" w:hAnsi="Calibri"/>
          <w:b w:val="0"/>
          <w:i w:val="0"/>
          <w:color w:val="1A1A1A"/>
          <w:sz w:val="24"/>
        </w:rPr>
        <w:t>EVIDÊNCIA CIENTÍFICA. Revisão publicada em Aesthetic Plastic Surgery propõe, para kits de emergência em procedimentos com preenchedores, uma classificação em três níveis de prioridade, distinguindo itens obrigatórios, recomendados e aconselháveis, e organiza o inventário por finalidade, incluindo oclusão vascular sem envolvimento ocular, oclusão com envolvimento ocular, reação anafilática, ressuscitação cardiopulmonar e distúrbios hemodinâmicos, reações tardias e cuidados assépticos e tópicos. A revisão enfatiza a gestão do inventário, com controle de entrada, saída e validade, para reduzir risco de desabastecimento. Limitação: revisão de literatura médica, com recomendações dirigidas à prática médica.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Como o Núcleo utiliza esse achado</w:t>
            </w:r>
          </w:p>
          <w:p>
            <w:pPr>
              <w:spacing w:after="0"/>
              <w:jc w:val="both"/>
            </w:pPr>
            <w:r>
              <w:rPr>
                <w:rFonts w:ascii="Calibri" w:hAnsi="Calibri"/>
                <w:color w:val="1A1A1A"/>
                <w:sz w:val="24"/>
              </w:rPr>
              <w:t>O Núcleo adota deste estudo a lógica de organização e de verificação do kit, isto é, a existência de níveis de prioridade, a organização por cenário e o controle formal de validade. O Núcleo não transpõe a lista de fármacos, porque a composição do kit depende de competência profissional, de prescrição e de norma sanitária aplicável ao serviço odontológico. PENDÊNCIA INSTITUCIONAL: a composição do kit para a realidade odontológica em Minas Gerais deve ser objeto de deliberação própria do colegiado, com apoio jurídico e sanitário.</w:t>
            </w:r>
          </w:p>
        </w:tc>
      </w:tr>
    </w:tbl>
    <w:p>
      <w:pPr>
        <w:spacing w:after="8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245"/>
        <w:gridCol w:w="2825"/>
        <w:gridCol w:w="3002"/>
      </w:tblGrid>
      <w:tr>
        <w:trPr>
          <w:cantSplit/>
          <w:tblHeader/>
        </w:trPr>
        <w:tc>
          <w:tcPr>
            <w:tcW w:type="dxa" w:w="3245"/>
            <w:shd w:val="clear" w:color="auto" w:fill="143C64"/>
          </w:tcPr>
          <w:p>
            <w:pPr>
              <w:spacing w:after="0"/>
              <w:jc w:val="left"/>
            </w:pPr>
            <w:r/>
            <w:r>
              <w:rPr>
                <w:rFonts w:ascii="Calibri" w:hAnsi="Calibri"/>
                <w:b/>
                <w:color w:val="FFFFFF"/>
                <w:sz w:val="24"/>
              </w:rPr>
              <w:t>Verificação de kit</w:t>
            </w:r>
          </w:p>
        </w:tc>
        <w:tc>
          <w:tcPr>
            <w:tcW w:type="dxa" w:w="2825"/>
            <w:shd w:val="clear" w:color="auto" w:fill="143C64"/>
          </w:tcPr>
          <w:p>
            <w:pPr>
              <w:spacing w:after="0"/>
              <w:jc w:val="left"/>
            </w:pPr>
            <w:r/>
            <w:r>
              <w:rPr>
                <w:rFonts w:ascii="Calibri" w:hAnsi="Calibri"/>
                <w:b/>
                <w:color w:val="FFFFFF"/>
                <w:sz w:val="24"/>
              </w:rPr>
              <w:t>Frequência</w:t>
            </w:r>
          </w:p>
        </w:tc>
        <w:tc>
          <w:tcPr>
            <w:tcW w:type="dxa" w:w="3002"/>
            <w:shd w:val="clear" w:color="auto" w:fill="143C64"/>
          </w:tcPr>
          <w:p>
            <w:pPr>
              <w:spacing w:after="0"/>
              <w:jc w:val="left"/>
            </w:pPr>
            <w:r/>
            <w:r>
              <w:rPr>
                <w:rFonts w:ascii="Calibri" w:hAnsi="Calibri"/>
                <w:b/>
                <w:color w:val="FFFFFF"/>
                <w:sz w:val="24"/>
              </w:rPr>
              <w:t>Registro</w:t>
            </w:r>
          </w:p>
        </w:tc>
      </w:tr>
      <w:tr>
        <w:trPr>
          <w:cantSplit/>
        </w:trPr>
        <w:tc>
          <w:tcPr>
            <w:tcW w:type="dxa" w:w="3245"/>
          </w:tcPr>
          <w:p>
            <w:pPr>
              <w:spacing w:after="0"/>
              <w:jc w:val="left"/>
            </w:pPr>
            <w:r/>
            <w:r>
              <w:rPr>
                <w:rFonts w:ascii="Calibri" w:hAnsi="Calibri"/>
                <w:b w:val="0"/>
                <w:color w:val="1A1A1A"/>
                <w:sz w:val="24"/>
              </w:rPr>
              <w:t>Inventário completo conferido item a item.</w:t>
            </w:r>
          </w:p>
        </w:tc>
        <w:tc>
          <w:tcPr>
            <w:tcW w:type="dxa" w:w="2825"/>
          </w:tcPr>
          <w:p>
            <w:pPr>
              <w:spacing w:after="0"/>
              <w:jc w:val="left"/>
            </w:pPr>
            <w:r/>
            <w:r>
              <w:rPr>
                <w:rFonts w:ascii="Calibri" w:hAnsi="Calibri"/>
                <w:b w:val="0"/>
                <w:color w:val="1A1A1A"/>
                <w:sz w:val="24"/>
              </w:rPr>
              <w:t>Mensal.</w:t>
            </w:r>
          </w:p>
        </w:tc>
        <w:tc>
          <w:tcPr>
            <w:tcW w:type="dxa" w:w="3002"/>
          </w:tcPr>
          <w:p>
            <w:pPr>
              <w:spacing w:after="0"/>
              <w:jc w:val="left"/>
            </w:pPr>
            <w:r/>
            <w:r>
              <w:rPr>
                <w:rFonts w:ascii="Calibri" w:hAnsi="Calibri"/>
                <w:b w:val="0"/>
                <w:color w:val="1A1A1A"/>
                <w:sz w:val="24"/>
              </w:rPr>
              <w:t>Planilha assinada e datada.</w:t>
            </w:r>
          </w:p>
        </w:tc>
      </w:tr>
      <w:tr>
        <w:trPr>
          <w:cantSplit/>
        </w:trPr>
        <w:tc>
          <w:tcPr>
            <w:tcW w:type="dxa" w:w="3245"/>
            <w:shd w:val="clear" w:color="auto" w:fill="F2F5F8"/>
          </w:tcPr>
          <w:p>
            <w:pPr>
              <w:spacing w:after="0"/>
              <w:jc w:val="left"/>
            </w:pPr>
            <w:r/>
            <w:r>
              <w:rPr>
                <w:rFonts w:ascii="Calibri" w:hAnsi="Calibri"/>
                <w:b w:val="0"/>
                <w:color w:val="1A1A1A"/>
                <w:sz w:val="24"/>
              </w:rPr>
              <w:t>Validade de todos os itens verificada.</w:t>
            </w:r>
          </w:p>
        </w:tc>
        <w:tc>
          <w:tcPr>
            <w:tcW w:type="dxa" w:w="2825"/>
            <w:shd w:val="clear" w:color="auto" w:fill="F2F5F8"/>
          </w:tcPr>
          <w:p>
            <w:pPr>
              <w:spacing w:after="0"/>
              <w:jc w:val="left"/>
            </w:pPr>
            <w:r/>
            <w:r>
              <w:rPr>
                <w:rFonts w:ascii="Calibri" w:hAnsi="Calibri"/>
                <w:b w:val="0"/>
                <w:color w:val="1A1A1A"/>
                <w:sz w:val="24"/>
              </w:rPr>
              <w:t>Mensal e antes de procedimento de maior risco.</w:t>
            </w:r>
          </w:p>
        </w:tc>
        <w:tc>
          <w:tcPr>
            <w:tcW w:type="dxa" w:w="3002"/>
            <w:shd w:val="clear" w:color="auto" w:fill="F2F5F8"/>
          </w:tcPr>
          <w:p>
            <w:pPr>
              <w:spacing w:after="0"/>
              <w:jc w:val="left"/>
            </w:pPr>
            <w:r/>
            <w:r>
              <w:rPr>
                <w:rFonts w:ascii="Calibri" w:hAnsi="Calibri"/>
                <w:b w:val="0"/>
                <w:color w:val="1A1A1A"/>
                <w:sz w:val="24"/>
              </w:rPr>
              <w:t>Data da conferência e do item mais próximo do vencimento.</w:t>
            </w:r>
          </w:p>
        </w:tc>
      </w:tr>
      <w:tr>
        <w:trPr>
          <w:cantSplit/>
        </w:trPr>
        <w:tc>
          <w:tcPr>
            <w:tcW w:type="dxa" w:w="3245"/>
          </w:tcPr>
          <w:p>
            <w:pPr>
              <w:spacing w:after="0"/>
              <w:jc w:val="left"/>
            </w:pPr>
            <w:r/>
            <w:r>
              <w:rPr>
                <w:rFonts w:ascii="Calibri" w:hAnsi="Calibri"/>
                <w:b w:val="0"/>
                <w:color w:val="1A1A1A"/>
                <w:sz w:val="24"/>
              </w:rPr>
              <w:t>Reposição de item utilizado ou vencido.</w:t>
            </w:r>
          </w:p>
        </w:tc>
        <w:tc>
          <w:tcPr>
            <w:tcW w:type="dxa" w:w="2825"/>
          </w:tcPr>
          <w:p>
            <w:pPr>
              <w:spacing w:after="0"/>
              <w:jc w:val="left"/>
            </w:pPr>
            <w:r/>
            <w:r>
              <w:rPr>
                <w:rFonts w:ascii="Calibri" w:hAnsi="Calibri"/>
                <w:b w:val="0"/>
                <w:color w:val="1A1A1A"/>
                <w:sz w:val="24"/>
              </w:rPr>
              <w:t>Imediata após uso ou vencimento.</w:t>
            </w:r>
          </w:p>
        </w:tc>
        <w:tc>
          <w:tcPr>
            <w:tcW w:type="dxa" w:w="3002"/>
          </w:tcPr>
          <w:p>
            <w:pPr>
              <w:spacing w:after="0"/>
              <w:jc w:val="left"/>
            </w:pPr>
            <w:r/>
            <w:r>
              <w:rPr>
                <w:rFonts w:ascii="Calibri" w:hAnsi="Calibri"/>
                <w:b w:val="0"/>
                <w:color w:val="1A1A1A"/>
                <w:sz w:val="24"/>
              </w:rPr>
              <w:t>Registro de entrada e saída.</w:t>
            </w:r>
          </w:p>
        </w:tc>
      </w:tr>
      <w:tr>
        <w:trPr>
          <w:cantSplit/>
        </w:trPr>
        <w:tc>
          <w:tcPr>
            <w:tcW w:type="dxa" w:w="3245"/>
            <w:shd w:val="clear" w:color="auto" w:fill="F2F5F8"/>
          </w:tcPr>
          <w:p>
            <w:pPr>
              <w:spacing w:after="0"/>
              <w:jc w:val="left"/>
            </w:pPr>
            <w:r/>
            <w:r>
              <w:rPr>
                <w:rFonts w:ascii="Calibri" w:hAnsi="Calibri"/>
                <w:b w:val="0"/>
                <w:color w:val="1A1A1A"/>
                <w:sz w:val="24"/>
              </w:rPr>
              <w:t>Acessibilidade física do kit testada.</w:t>
            </w:r>
          </w:p>
        </w:tc>
        <w:tc>
          <w:tcPr>
            <w:tcW w:type="dxa" w:w="2825"/>
            <w:shd w:val="clear" w:color="auto" w:fill="F2F5F8"/>
          </w:tcPr>
          <w:p>
            <w:pPr>
              <w:spacing w:after="0"/>
              <w:jc w:val="left"/>
            </w:pPr>
            <w:r/>
            <w:r>
              <w:rPr>
                <w:rFonts w:ascii="Calibri" w:hAnsi="Calibri"/>
                <w:b w:val="0"/>
                <w:color w:val="1A1A1A"/>
                <w:sz w:val="24"/>
              </w:rPr>
              <w:t>Mensal.</w:t>
            </w:r>
          </w:p>
        </w:tc>
        <w:tc>
          <w:tcPr>
            <w:tcW w:type="dxa" w:w="3002"/>
            <w:shd w:val="clear" w:color="auto" w:fill="F2F5F8"/>
          </w:tcPr>
          <w:p>
            <w:pPr>
              <w:spacing w:after="0"/>
              <w:jc w:val="left"/>
            </w:pPr>
            <w:r/>
            <w:r>
              <w:rPr>
                <w:rFonts w:ascii="Calibri" w:hAnsi="Calibri"/>
                <w:b w:val="0"/>
                <w:color w:val="1A1A1A"/>
                <w:sz w:val="24"/>
              </w:rPr>
              <w:t>Confirmação de local, identificação e ausência de obstrução.</w:t>
            </w:r>
          </w:p>
        </w:tc>
      </w:tr>
      <w:tr>
        <w:trPr>
          <w:cantSplit/>
        </w:trPr>
        <w:tc>
          <w:tcPr>
            <w:tcW w:type="dxa" w:w="3245"/>
          </w:tcPr>
          <w:p>
            <w:pPr>
              <w:spacing w:after="0"/>
              <w:jc w:val="left"/>
            </w:pPr>
            <w:r/>
            <w:r>
              <w:rPr>
                <w:rFonts w:ascii="Calibri" w:hAnsi="Calibri"/>
                <w:b w:val="0"/>
                <w:color w:val="1A1A1A"/>
                <w:sz w:val="24"/>
              </w:rPr>
              <w:t>Equipe treinada quanto à localização e ao uso.</w:t>
            </w:r>
          </w:p>
        </w:tc>
        <w:tc>
          <w:tcPr>
            <w:tcW w:type="dxa" w:w="2825"/>
          </w:tcPr>
          <w:p>
            <w:pPr>
              <w:spacing w:after="0"/>
              <w:jc w:val="left"/>
            </w:pPr>
            <w:r/>
            <w:r>
              <w:rPr>
                <w:rFonts w:ascii="Calibri" w:hAnsi="Calibri"/>
                <w:b w:val="0"/>
                <w:color w:val="1A1A1A"/>
                <w:sz w:val="24"/>
              </w:rPr>
              <w:t>Semestral e a cada novo integrante.</w:t>
            </w:r>
          </w:p>
        </w:tc>
        <w:tc>
          <w:tcPr>
            <w:tcW w:type="dxa" w:w="3002"/>
          </w:tcPr>
          <w:p>
            <w:pPr>
              <w:spacing w:after="0"/>
              <w:jc w:val="left"/>
            </w:pPr>
            <w:r/>
            <w:r>
              <w:rPr>
                <w:rFonts w:ascii="Calibri" w:hAnsi="Calibri"/>
                <w:b w:val="0"/>
                <w:color w:val="1A1A1A"/>
                <w:sz w:val="24"/>
              </w:rPr>
              <w:t>Lista de presença e conteúdo do treinamento.</w:t>
            </w:r>
          </w:p>
        </w:tc>
      </w:tr>
    </w:tbl>
    <w:p>
      <w:pPr>
        <w:keepNext/>
        <w:spacing w:before="360" w:after="160"/>
        <w:jc w:val="left"/>
        <w:pBdr>
          <w:bottom w:val="single" w:sz="8" w:space="4" w:color="143C64"/>
        </w:pBdr>
      </w:pPr>
      <w:r>
        <w:rPr>
          <w:rFonts w:ascii="Calibri" w:hAnsi="Calibri"/>
          <w:b/>
          <w:color w:val="143C64"/>
          <w:sz w:val="30"/>
        </w:rPr>
        <w:t>4  Registro mínimo de rastreabilidade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5203"/>
        <w:gridCol w:w="3869"/>
      </w:tblGrid>
      <w:tr>
        <w:trPr>
          <w:cantSplit/>
          <w:tblHeader/>
        </w:trPr>
        <w:tc>
          <w:tcPr>
            <w:tcW w:type="dxa" w:w="5203"/>
            <w:shd w:val="clear" w:color="auto" w:fill="143C64"/>
          </w:tcPr>
          <w:p>
            <w:pPr>
              <w:spacing w:after="0"/>
              <w:jc w:val="left"/>
            </w:pPr>
            <w:r/>
            <w:r>
              <w:rPr>
                <w:rFonts w:ascii="Calibri" w:hAnsi="Calibri"/>
                <w:b/>
                <w:color w:val="FFFFFF"/>
                <w:sz w:val="24"/>
              </w:rPr>
              <w:t>Campo</w:t>
            </w:r>
          </w:p>
        </w:tc>
        <w:tc>
          <w:tcPr>
            <w:tcW w:type="dxa" w:w="3869"/>
            <w:shd w:val="clear" w:color="auto" w:fill="143C64"/>
          </w:tcPr>
          <w:p>
            <w:pPr>
              <w:spacing w:after="0"/>
              <w:jc w:val="left"/>
            </w:pPr>
            <w:r/>
            <w:r>
              <w:rPr>
                <w:rFonts w:ascii="Calibri" w:hAnsi="Calibri"/>
                <w:b/>
                <w:color w:val="FFFFFF"/>
                <w:sz w:val="24"/>
              </w:rPr>
              <w:t>Registro</w:t>
            </w:r>
          </w:p>
        </w:tc>
      </w:tr>
      <w:tr>
        <w:trPr>
          <w:cantSplit/>
        </w:trPr>
        <w:tc>
          <w:tcPr>
            <w:tcW w:type="dxa" w:w="5203"/>
          </w:tcPr>
          <w:p>
            <w:pPr>
              <w:spacing w:after="0"/>
              <w:jc w:val="left"/>
            </w:pPr>
            <w:r/>
            <w:r>
              <w:rPr>
                <w:rFonts w:ascii="Calibri" w:hAnsi="Calibri"/>
                <w:b w:val="0"/>
                <w:color w:val="1A1A1A"/>
                <w:sz w:val="24"/>
              </w:rPr>
              <w:t>Data e hora</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Procedimento</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Produto ou equipamento</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Lote ou número de série</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Validade</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Região e lado</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Volume ou parâmetros</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Operador</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Intercorrência e conduta</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Horários registrados</w:t>
            </w:r>
          </w:p>
        </w:tc>
        <w:tc>
          <w:tcPr>
            <w:tcW w:type="dxa" w:w="3869"/>
            <w:shd w:val="clear" w:color="auto" w:fill="F2F5F8"/>
          </w:tcPr>
          <w:p>
            <w:pPr>
              <w:spacing w:after="0"/>
              <w:jc w:val="left"/>
            </w:pPr>
            <w:r/>
            <w:r>
              <w:rPr>
                <w:rFonts w:ascii="Calibri" w:hAnsi="Calibri"/>
                <w:b w:val="0"/>
                <w:color w:val="1A1A1A"/>
                <w:sz w:val="24"/>
              </w:rPr>
              <w:t>___</w:t>
            </w:r>
          </w:p>
        </w:tc>
      </w:tr>
      <w:tr>
        <w:trPr>
          <w:cantSplit/>
        </w:trPr>
        <w:tc>
          <w:tcPr>
            <w:tcW w:type="dxa" w:w="5203"/>
          </w:tcPr>
          <w:p>
            <w:pPr>
              <w:spacing w:after="0"/>
              <w:jc w:val="left"/>
            </w:pPr>
            <w:r/>
            <w:r>
              <w:rPr>
                <w:rFonts w:ascii="Calibri" w:hAnsi="Calibri"/>
                <w:b w:val="0"/>
                <w:color w:val="1A1A1A"/>
                <w:sz w:val="24"/>
              </w:rPr>
              <w:t>Orientação entregue</w:t>
            </w:r>
          </w:p>
        </w:tc>
        <w:tc>
          <w:tcPr>
            <w:tcW w:type="dxa" w:w="3869"/>
          </w:tcPr>
          <w:p>
            <w:pPr>
              <w:spacing w:after="0"/>
              <w:jc w:val="left"/>
            </w:pPr>
            <w:r/>
            <w:r>
              <w:rPr>
                <w:rFonts w:ascii="Calibri" w:hAnsi="Calibri"/>
                <w:b w:val="0"/>
                <w:color w:val="1A1A1A"/>
                <w:sz w:val="24"/>
              </w:rPr>
              <w:t>___</w:t>
            </w:r>
          </w:p>
        </w:tc>
      </w:tr>
      <w:tr>
        <w:trPr>
          <w:cantSplit/>
        </w:trPr>
        <w:tc>
          <w:tcPr>
            <w:tcW w:type="dxa" w:w="5203"/>
            <w:shd w:val="clear" w:color="auto" w:fill="F2F5F8"/>
          </w:tcPr>
          <w:p>
            <w:pPr>
              <w:spacing w:after="0"/>
              <w:jc w:val="left"/>
            </w:pPr>
            <w:r/>
            <w:r>
              <w:rPr>
                <w:rFonts w:ascii="Calibri" w:hAnsi="Calibri"/>
                <w:b w:val="0"/>
                <w:color w:val="1A1A1A"/>
                <w:sz w:val="24"/>
              </w:rPr>
              <w:t>Retorno agendado</w:t>
            </w:r>
          </w:p>
        </w:tc>
        <w:tc>
          <w:tcPr>
            <w:tcW w:type="dxa" w:w="3869"/>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5  Regras de uso do checklist</w:t>
      </w:r>
    </w:p>
    <w:p>
      <w:pPr>
        <w:pStyle w:val="ListNumber"/>
        <w:spacing w:after="60"/>
        <w:ind w:left="397"/>
        <w:jc w:val="both"/>
      </w:pPr>
      <w:r>
        <w:rPr>
          <w:rFonts w:ascii="Calibri" w:hAnsi="Calibri"/>
          <w:color w:val="1A1A1A"/>
          <w:sz w:val="24"/>
        </w:rPr>
        <w:t>O checklist é preenchido durante o processo, não reconstruído depois.</w:t>
      </w:r>
    </w:p>
    <w:p>
      <w:pPr>
        <w:pStyle w:val="ListNumber"/>
        <w:spacing w:after="60"/>
        <w:ind w:left="397"/>
        <w:jc w:val="both"/>
      </w:pPr>
      <w:r>
        <w:rPr>
          <w:rFonts w:ascii="Calibri" w:hAnsi="Calibri"/>
          <w:color w:val="1A1A1A"/>
          <w:sz w:val="24"/>
        </w:rPr>
        <w:t>Item não aplicável deve ser marcado como não aplicável, com justificativa, e não deixado em branco.</w:t>
      </w:r>
    </w:p>
    <w:p>
      <w:pPr>
        <w:pStyle w:val="ListNumber"/>
        <w:spacing w:after="60"/>
        <w:ind w:left="397"/>
        <w:jc w:val="both"/>
      </w:pPr>
      <w:r>
        <w:rPr>
          <w:rFonts w:ascii="Calibri" w:hAnsi="Calibri"/>
          <w:color w:val="1A1A1A"/>
          <w:sz w:val="24"/>
        </w:rPr>
        <w:t>Pendência em qualquer item do bloco B impede o início do procedimento até a correção.</w:t>
      </w:r>
    </w:p>
    <w:p>
      <w:pPr>
        <w:pStyle w:val="ListNumber"/>
        <w:spacing w:after="60"/>
        <w:ind w:left="397"/>
        <w:jc w:val="both"/>
      </w:pPr>
      <w:r>
        <w:rPr>
          <w:rFonts w:ascii="Calibri" w:hAnsi="Calibri"/>
          <w:color w:val="1A1A1A"/>
          <w:sz w:val="24"/>
        </w:rPr>
        <w:t>O checklist preenchido integra a documentação do serviço e segue a política de guarda definida pelo Responsável Técnico.</w:t>
      </w:r>
    </w:p>
    <w:p>
      <w:pPr>
        <w:pStyle w:val="ListNumber"/>
        <w:spacing w:after="60"/>
        <w:ind w:left="397"/>
        <w:jc w:val="both"/>
      </w:pPr>
      <w:r>
        <w:rPr>
          <w:rFonts w:ascii="Calibri" w:hAnsi="Calibri"/>
          <w:color w:val="1A1A1A"/>
          <w:sz w:val="24"/>
        </w:rPr>
        <w:t>Adaptações por serviço são permitidas por acréscimo, nunca por supressão de item.</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38"/>
        <w:gridCol w:w="3092"/>
        <w:gridCol w:w="3842"/>
      </w:tblGrid>
      <w:tr>
        <w:trPr>
          <w:cantSplit/>
          <w:tblHeader/>
        </w:trPr>
        <w:tc>
          <w:tcPr>
            <w:tcW w:type="dxa" w:w="2138"/>
            <w:shd w:val="clear" w:color="auto" w:fill="143C64"/>
          </w:tcPr>
          <w:p>
            <w:pPr>
              <w:spacing w:after="0"/>
              <w:jc w:val="left"/>
            </w:pPr>
            <w:r/>
            <w:r>
              <w:rPr>
                <w:rFonts w:ascii="Calibri" w:hAnsi="Calibri"/>
                <w:b/>
                <w:color w:val="FFFFFF"/>
                <w:sz w:val="24"/>
              </w:rPr>
              <w:t>Ato</w:t>
            </w:r>
          </w:p>
        </w:tc>
        <w:tc>
          <w:tcPr>
            <w:tcW w:type="dxa" w:w="3092"/>
            <w:shd w:val="clear" w:color="auto" w:fill="143C64"/>
          </w:tcPr>
          <w:p>
            <w:pPr>
              <w:spacing w:after="0"/>
              <w:jc w:val="left"/>
            </w:pPr>
            <w:r/>
            <w:r>
              <w:rPr>
                <w:rFonts w:ascii="Calibri" w:hAnsi="Calibri"/>
                <w:b/>
                <w:color w:val="FFFFFF"/>
                <w:sz w:val="24"/>
              </w:rPr>
              <w:t>Objeto</w:t>
            </w:r>
          </w:p>
        </w:tc>
        <w:tc>
          <w:tcPr>
            <w:tcW w:type="dxa" w:w="3842"/>
            <w:shd w:val="clear" w:color="auto" w:fill="143C64"/>
          </w:tcPr>
          <w:p>
            <w:pPr>
              <w:spacing w:after="0"/>
              <w:jc w:val="left"/>
            </w:pPr>
            <w:r/>
            <w:r>
              <w:rPr>
                <w:rFonts w:ascii="Calibri" w:hAnsi="Calibri"/>
                <w:b/>
                <w:color w:val="FFFFFF"/>
                <w:sz w:val="24"/>
              </w:rPr>
              <w:t>Incidência no pacote</w:t>
            </w:r>
          </w:p>
        </w:tc>
      </w:tr>
      <w:tr>
        <w:trPr>
          <w:cantSplit/>
        </w:trPr>
        <w:tc>
          <w:tcPr>
            <w:tcW w:type="dxa" w:w="2138"/>
          </w:tcPr>
          <w:p>
            <w:pPr>
              <w:spacing w:after="0"/>
              <w:jc w:val="left"/>
            </w:pPr>
            <w:r/>
            <w:r>
              <w:rPr>
                <w:rFonts w:ascii="Calibri" w:hAnsi="Calibri"/>
                <w:b w:val="0"/>
                <w:color w:val="1A1A1A"/>
                <w:sz w:val="24"/>
              </w:rPr>
              <w:t>Lei nº 5.081, de 24 de agosto de 1966</w:t>
            </w:r>
          </w:p>
        </w:tc>
        <w:tc>
          <w:tcPr>
            <w:tcW w:type="dxa" w:w="3092"/>
          </w:tcPr>
          <w:p>
            <w:pPr>
              <w:spacing w:after="0"/>
              <w:jc w:val="left"/>
            </w:pPr>
            <w:r/>
            <w:r>
              <w:rPr>
                <w:rFonts w:ascii="Calibri" w:hAnsi="Calibri"/>
                <w:b w:val="0"/>
                <w:color w:val="1A1A1A"/>
                <w:sz w:val="24"/>
              </w:rPr>
              <w:t>Regula o exercício da Odontologia no Brasil.</w:t>
            </w:r>
          </w:p>
        </w:tc>
        <w:tc>
          <w:tcPr>
            <w:tcW w:type="dxa" w:w="3842"/>
          </w:tcPr>
          <w:p>
            <w:pPr>
              <w:spacing w:after="0"/>
              <w:jc w:val="left"/>
            </w:pPr>
            <w:r/>
            <w:r>
              <w:rPr>
                <w:rFonts w:ascii="Calibri" w:hAnsi="Calibri"/>
                <w:b w:val="0"/>
                <w:color w:val="1A1A1A"/>
                <w:sz w:val="24"/>
              </w:rPr>
              <w:t>Base legal do exercício profissional.</w:t>
            </w:r>
          </w:p>
        </w:tc>
      </w:tr>
      <w:tr>
        <w:trPr>
          <w:cantSplit/>
        </w:trPr>
        <w:tc>
          <w:tcPr>
            <w:tcW w:type="dxa" w:w="2138"/>
            <w:shd w:val="clear" w:color="auto" w:fill="F2F5F8"/>
          </w:tcPr>
          <w:p>
            <w:pPr>
              <w:spacing w:after="0"/>
              <w:jc w:val="left"/>
            </w:pPr>
            <w:r/>
            <w:r>
              <w:rPr>
                <w:rFonts w:ascii="Calibri" w:hAnsi="Calibri"/>
                <w:b w:val="0"/>
                <w:color w:val="1A1A1A"/>
                <w:sz w:val="24"/>
              </w:rPr>
              <w:t>Resolução CFO nº 118/2012</w:t>
            </w:r>
          </w:p>
        </w:tc>
        <w:tc>
          <w:tcPr>
            <w:tcW w:type="dxa" w:w="3092"/>
            <w:shd w:val="clear" w:color="auto" w:fill="F2F5F8"/>
          </w:tcPr>
          <w:p>
            <w:pPr>
              <w:spacing w:after="0"/>
              <w:jc w:val="left"/>
            </w:pPr>
            <w:r/>
            <w:r>
              <w:rPr>
                <w:rFonts w:ascii="Calibri" w:hAnsi="Calibri"/>
                <w:b w:val="0"/>
                <w:color w:val="1A1A1A"/>
                <w:sz w:val="24"/>
              </w:rPr>
              <w:t>Código de Ética Odontológica.</w:t>
            </w:r>
          </w:p>
        </w:tc>
        <w:tc>
          <w:tcPr>
            <w:tcW w:type="dxa" w:w="3842"/>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38"/>
          </w:tcPr>
          <w:p>
            <w:pPr>
              <w:spacing w:after="0"/>
              <w:jc w:val="left"/>
            </w:pPr>
            <w:r/>
            <w:r>
              <w:rPr>
                <w:rFonts w:ascii="Calibri" w:hAnsi="Calibri"/>
                <w:b w:val="0"/>
                <w:color w:val="1A1A1A"/>
                <w:sz w:val="24"/>
              </w:rPr>
              <w:t>RDC Anvisa nº 1.002, de 15 de dezembro de 2025</w:t>
            </w:r>
          </w:p>
        </w:tc>
        <w:tc>
          <w:tcPr>
            <w:tcW w:type="dxa" w:w="3092"/>
          </w:tcPr>
          <w:p>
            <w:pPr>
              <w:spacing w:after="0"/>
              <w:jc w:val="left"/>
            </w:pPr>
            <w:r/>
            <w:r>
              <w:rPr>
                <w:rFonts w:ascii="Calibri" w:hAnsi="Calibri"/>
                <w:b w:val="0"/>
                <w:color w:val="1A1A1A"/>
                <w:sz w:val="24"/>
              </w:rPr>
              <w:t>Boas Práticas de Funcionamento para serviços que prestam assistência odontológica.</w:t>
            </w:r>
          </w:p>
        </w:tc>
        <w:tc>
          <w:tcPr>
            <w:tcW w:type="dxa" w:w="3842"/>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38"/>
            <w:shd w:val="clear" w:color="auto" w:fill="F2F5F8"/>
          </w:tcPr>
          <w:p>
            <w:pPr>
              <w:spacing w:after="0"/>
              <w:jc w:val="left"/>
            </w:pPr>
            <w:r/>
            <w:r>
              <w:rPr>
                <w:rFonts w:ascii="Calibri" w:hAnsi="Calibri"/>
                <w:b w:val="0"/>
                <w:color w:val="1A1A1A"/>
                <w:sz w:val="24"/>
              </w:rPr>
              <w:t>RDC Anvisa nº 63/2011</w:t>
            </w:r>
          </w:p>
        </w:tc>
        <w:tc>
          <w:tcPr>
            <w:tcW w:type="dxa" w:w="3092"/>
            <w:shd w:val="clear" w:color="auto" w:fill="F2F5F8"/>
          </w:tcPr>
          <w:p>
            <w:pPr>
              <w:spacing w:after="0"/>
              <w:jc w:val="left"/>
            </w:pPr>
            <w:r/>
            <w:r>
              <w:rPr>
                <w:rFonts w:ascii="Calibri" w:hAnsi="Calibri"/>
                <w:b w:val="0"/>
                <w:color w:val="1A1A1A"/>
                <w:sz w:val="24"/>
              </w:rPr>
              <w:t>Boas Práticas de Funcionamento para serviços de saúde.</w:t>
            </w:r>
          </w:p>
        </w:tc>
        <w:tc>
          <w:tcPr>
            <w:tcW w:type="dxa" w:w="3842"/>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38"/>
          </w:tcPr>
          <w:p>
            <w:pPr>
              <w:spacing w:after="0"/>
              <w:jc w:val="left"/>
            </w:pPr>
            <w:r/>
            <w:r>
              <w:rPr>
                <w:rFonts w:ascii="Calibri" w:hAnsi="Calibri"/>
                <w:b w:val="0"/>
                <w:color w:val="1A1A1A"/>
                <w:sz w:val="24"/>
              </w:rPr>
              <w:t>RDC Anvisa nº 509/2021</w:t>
            </w:r>
          </w:p>
        </w:tc>
        <w:tc>
          <w:tcPr>
            <w:tcW w:type="dxa" w:w="3092"/>
          </w:tcPr>
          <w:p>
            <w:pPr>
              <w:spacing w:after="0"/>
              <w:jc w:val="left"/>
            </w:pPr>
            <w:r/>
            <w:r>
              <w:rPr>
                <w:rFonts w:ascii="Calibri" w:hAnsi="Calibri"/>
                <w:b w:val="0"/>
                <w:color w:val="1A1A1A"/>
                <w:sz w:val="24"/>
              </w:rPr>
              <w:t>Gerenciamento de tecnologias em serviços de saúde.</w:t>
            </w:r>
          </w:p>
        </w:tc>
        <w:tc>
          <w:tcPr>
            <w:tcW w:type="dxa" w:w="3842"/>
          </w:tcPr>
          <w:p>
            <w:pPr>
              <w:spacing w:after="0"/>
              <w:jc w:val="left"/>
            </w:pPr>
            <w:r/>
            <w:r>
              <w:rPr>
                <w:rFonts w:ascii="Calibri" w:hAnsi="Calibri"/>
                <w:b w:val="0"/>
                <w:color w:val="1A1A1A"/>
                <w:sz w:val="24"/>
              </w:rPr>
              <w:t>Plano de gerenciamento, rastreabilidade, guarda e monitoramento.</w:t>
            </w:r>
          </w:p>
        </w:tc>
      </w:tr>
      <w:tr>
        <w:trPr>
          <w:cantSplit/>
        </w:trPr>
        <w:tc>
          <w:tcPr>
            <w:tcW w:type="dxa" w:w="2138"/>
            <w:shd w:val="clear" w:color="auto" w:fill="F2F5F8"/>
          </w:tcPr>
          <w:p>
            <w:pPr>
              <w:spacing w:after="0"/>
              <w:jc w:val="left"/>
            </w:pPr>
            <w:r/>
            <w:r>
              <w:rPr>
                <w:rFonts w:ascii="Calibri" w:hAnsi="Calibri"/>
                <w:b w:val="0"/>
                <w:color w:val="1A1A1A"/>
                <w:sz w:val="24"/>
              </w:rPr>
              <w:t>RDC Anvisa nº 751/2022</w:t>
            </w:r>
          </w:p>
        </w:tc>
        <w:tc>
          <w:tcPr>
            <w:tcW w:type="dxa" w:w="3092"/>
            <w:shd w:val="clear" w:color="auto" w:fill="F2F5F8"/>
          </w:tcPr>
          <w:p>
            <w:pPr>
              <w:spacing w:after="0"/>
              <w:jc w:val="left"/>
            </w:pPr>
            <w:r/>
            <w:r>
              <w:rPr>
                <w:rFonts w:ascii="Calibri" w:hAnsi="Calibri"/>
                <w:b w:val="0"/>
                <w:color w:val="1A1A1A"/>
                <w:sz w:val="24"/>
              </w:rPr>
              <w:t>Dispositivos médicos: classificação e regularização.</w:t>
            </w:r>
          </w:p>
        </w:tc>
        <w:tc>
          <w:tcPr>
            <w:tcW w:type="dxa" w:w="3842"/>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38"/>
          </w:tcPr>
          <w:p>
            <w:pPr>
              <w:spacing w:after="0"/>
              <w:jc w:val="left"/>
            </w:pPr>
            <w:r/>
            <w:r>
              <w:rPr>
                <w:rFonts w:ascii="Calibri" w:hAnsi="Calibri"/>
                <w:b w:val="0"/>
                <w:color w:val="1A1A1A"/>
                <w:sz w:val="24"/>
              </w:rPr>
              <w:t>RDC Anvisa nº 549/2021</w:t>
            </w:r>
          </w:p>
        </w:tc>
        <w:tc>
          <w:tcPr>
            <w:tcW w:type="dxa" w:w="3092"/>
          </w:tcPr>
          <w:p>
            <w:pPr>
              <w:spacing w:after="0"/>
              <w:jc w:val="left"/>
            </w:pPr>
            <w:r/>
            <w:r>
              <w:rPr>
                <w:rFonts w:ascii="Calibri" w:hAnsi="Calibri"/>
                <w:b w:val="0"/>
                <w:color w:val="1A1A1A"/>
                <w:sz w:val="24"/>
              </w:rPr>
              <w:t>Certificação de conformidade de equipamentos sob regime aplicável.</w:t>
            </w:r>
          </w:p>
        </w:tc>
        <w:tc>
          <w:tcPr>
            <w:tcW w:type="dxa" w:w="3842"/>
          </w:tcPr>
          <w:p>
            <w:pPr>
              <w:spacing w:after="0"/>
              <w:jc w:val="left"/>
            </w:pPr>
            <w:r/>
            <w:r>
              <w:rPr>
                <w:rFonts w:ascii="Calibri" w:hAnsi="Calibri"/>
                <w:b w:val="0"/>
                <w:color w:val="1A1A1A"/>
                <w:sz w:val="24"/>
              </w:rPr>
              <w:t>Conformidade de equipamentos eletromédicos.</w:t>
            </w:r>
          </w:p>
        </w:tc>
      </w:tr>
      <w:tr>
        <w:trPr>
          <w:cantSplit/>
        </w:trPr>
        <w:tc>
          <w:tcPr>
            <w:tcW w:type="dxa" w:w="2138"/>
            <w:shd w:val="clear" w:color="auto" w:fill="F2F5F8"/>
          </w:tcPr>
          <w:p>
            <w:pPr>
              <w:spacing w:after="0"/>
              <w:jc w:val="left"/>
            </w:pPr>
            <w:r/>
            <w:r>
              <w:rPr>
                <w:rFonts w:ascii="Calibri" w:hAnsi="Calibri"/>
                <w:b w:val="0"/>
                <w:color w:val="1A1A1A"/>
                <w:sz w:val="24"/>
              </w:rPr>
              <w:t>Lei nº 13.709/2018</w:t>
            </w:r>
          </w:p>
        </w:tc>
        <w:tc>
          <w:tcPr>
            <w:tcW w:type="dxa" w:w="3092"/>
            <w:shd w:val="clear" w:color="auto" w:fill="F2F5F8"/>
          </w:tcPr>
          <w:p>
            <w:pPr>
              <w:spacing w:after="0"/>
              <w:jc w:val="left"/>
            </w:pPr>
            <w:r/>
            <w:r>
              <w:rPr>
                <w:rFonts w:ascii="Calibri" w:hAnsi="Calibri"/>
                <w:b w:val="0"/>
                <w:color w:val="1A1A1A"/>
                <w:sz w:val="24"/>
              </w:rPr>
              <w:t>Lei Geral de Proteção de Dados Pessoais.</w:t>
            </w:r>
          </w:p>
        </w:tc>
        <w:tc>
          <w:tcPr>
            <w:tcW w:type="dxa" w:w="3842"/>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38"/>
          </w:tcPr>
          <w:p>
            <w:pPr>
              <w:spacing w:after="0"/>
              <w:jc w:val="left"/>
            </w:pPr>
            <w:r/>
            <w:r>
              <w:rPr>
                <w:rFonts w:ascii="Calibri" w:hAnsi="Calibri"/>
                <w:b w:val="0"/>
                <w:color w:val="1A1A1A"/>
                <w:sz w:val="24"/>
              </w:rPr>
              <w:t>Lei nº 15.378, de 6 de abril de 2026</w:t>
            </w:r>
          </w:p>
        </w:tc>
        <w:tc>
          <w:tcPr>
            <w:tcW w:type="dxa" w:w="3092"/>
          </w:tcPr>
          <w:p>
            <w:pPr>
              <w:spacing w:after="0"/>
              <w:jc w:val="left"/>
            </w:pPr>
            <w:r/>
            <w:r>
              <w:rPr>
                <w:rFonts w:ascii="Calibri" w:hAnsi="Calibri"/>
                <w:b w:val="0"/>
                <w:color w:val="1A1A1A"/>
                <w:sz w:val="24"/>
              </w:rPr>
              <w:t>Institui o Estatuto dos Direitos do Paciente.</w:t>
            </w:r>
          </w:p>
        </w:tc>
        <w:tc>
          <w:tcPr>
            <w:tcW w:type="dxa" w:w="3842"/>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38"/>
            <w:shd w:val="clear" w:color="auto" w:fill="F2F5F8"/>
          </w:tcPr>
          <w:p>
            <w:pPr>
              <w:spacing w:after="0"/>
              <w:jc w:val="left"/>
            </w:pPr>
            <w:r/>
            <w:r>
              <w:rPr>
                <w:rFonts w:ascii="Calibri" w:hAnsi="Calibri"/>
                <w:b w:val="0"/>
                <w:color w:val="1A1A1A"/>
                <w:sz w:val="24"/>
              </w:rPr>
              <w:t>Lei nº 12.842/2013</w:t>
            </w:r>
          </w:p>
        </w:tc>
        <w:tc>
          <w:tcPr>
            <w:tcW w:type="dxa" w:w="3092"/>
            <w:shd w:val="clear" w:color="auto" w:fill="F2F5F8"/>
          </w:tcPr>
          <w:p>
            <w:pPr>
              <w:spacing w:after="0"/>
              <w:jc w:val="left"/>
            </w:pPr>
            <w:r/>
            <w:r>
              <w:rPr>
                <w:rFonts w:ascii="Calibri" w:hAnsi="Calibri"/>
                <w:b w:val="0"/>
                <w:color w:val="1A1A1A"/>
                <w:sz w:val="24"/>
              </w:rPr>
              <w:t>Lei do Ato Médico.</w:t>
            </w:r>
          </w:p>
        </w:tc>
        <w:tc>
          <w:tcPr>
            <w:tcW w:type="dxa" w:w="3842"/>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38"/>
          </w:tcPr>
          <w:p>
            <w:pPr>
              <w:spacing w:after="0"/>
              <w:jc w:val="left"/>
            </w:pPr>
            <w:r/>
            <w:r>
              <w:rPr>
                <w:rFonts w:ascii="Calibri" w:hAnsi="Calibri"/>
                <w:b w:val="0"/>
                <w:color w:val="1A1A1A"/>
                <w:sz w:val="24"/>
              </w:rPr>
              <w:t>Portaria CRO-MG nº 190/2026</w:t>
            </w:r>
          </w:p>
        </w:tc>
        <w:tc>
          <w:tcPr>
            <w:tcW w:type="dxa" w:w="3092"/>
          </w:tcPr>
          <w:p>
            <w:pPr>
              <w:spacing w:after="0"/>
              <w:jc w:val="left"/>
            </w:pPr>
            <w:r/>
            <w:r>
              <w:rPr>
                <w:rFonts w:ascii="Calibri" w:hAnsi="Calibri"/>
                <w:b w:val="0"/>
                <w:color w:val="1A1A1A"/>
                <w:sz w:val="24"/>
              </w:rPr>
              <w:t>Constitui a Câmara Técnica de HOF e seus Núcleos.</w:t>
            </w:r>
          </w:p>
        </w:tc>
        <w:tc>
          <w:tcPr>
            <w:tcW w:type="dxa" w:w="3842"/>
          </w:tcPr>
          <w:p>
            <w:pPr>
              <w:spacing w:after="0"/>
              <w:jc w:val="left"/>
            </w:pPr>
            <w:r/>
            <w:r>
              <w:rPr>
                <w:rFonts w:ascii="Calibri" w:hAnsi="Calibri"/>
                <w:b w:val="0"/>
                <w:color w:val="1A1A1A"/>
                <w:sz w:val="24"/>
              </w:rPr>
              <w:t>Competência e composição do Núcleo 5.</w:t>
            </w:r>
          </w:p>
        </w:tc>
      </w:tr>
    </w:tbl>
    <w:p>
      <w:pPr>
        <w:keepNext/>
        <w:spacing w:before="240" w:after="80"/>
        <w:jc w:val="left"/>
      </w:pPr>
      <w:r>
        <w:rPr>
          <w:rFonts w:ascii="Calibri" w:hAnsi="Calibri"/>
          <w:b/>
          <w:color w:val="143C64"/>
          <w:sz w:val="26"/>
        </w:rPr>
        <w:t>Base científica</w:t>
      </w:r>
    </w:p>
    <w:p>
      <w:pPr>
        <w:spacing w:after="120"/>
        <w:jc w:val="both"/>
      </w:pPr>
      <w:r>
        <w:rPr>
          <w:rFonts w:ascii="Calibri" w:hAnsi="Calibri"/>
          <w:b w:val="0"/>
          <w:i w:val="0"/>
          <w:color w:val="1A1A1A"/>
          <w:sz w:val="24"/>
        </w:rPr>
        <w:t>As referências científicas abaixo foram verificadas individualmente na base PubMed em 25 de agosto de 2026. Identificador e localização bibliográfica foram conferidos um a um. Nenhuma referência foi incluída sem essa verificação.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46"/>
        <w:gridCol w:w="2363"/>
        <w:gridCol w:w="3163"/>
      </w:tblGrid>
      <w:tr>
        <w:trPr>
          <w:cantSplit/>
          <w:tblHeader/>
        </w:trPr>
        <w:tc>
          <w:tcPr>
            <w:tcW w:type="dxa" w:w="3546"/>
            <w:shd w:val="clear" w:color="auto" w:fill="143C64"/>
          </w:tcPr>
          <w:p>
            <w:pPr>
              <w:spacing w:after="0"/>
              <w:jc w:val="left"/>
            </w:pPr>
            <w:r/>
            <w:r>
              <w:rPr>
                <w:rFonts w:ascii="Calibri" w:hAnsi="Calibri"/>
                <w:b/>
                <w:color w:val="FFFFFF"/>
                <w:sz w:val="24"/>
              </w:rPr>
              <w:t>Referência</w:t>
            </w:r>
          </w:p>
        </w:tc>
        <w:tc>
          <w:tcPr>
            <w:tcW w:type="dxa" w:w="2363"/>
            <w:shd w:val="clear" w:color="auto" w:fill="143C64"/>
          </w:tcPr>
          <w:p>
            <w:pPr>
              <w:spacing w:after="0"/>
              <w:jc w:val="left"/>
            </w:pPr>
            <w:r/>
            <w:r>
              <w:rPr>
                <w:rFonts w:ascii="Calibri" w:hAnsi="Calibri"/>
                <w:b/>
                <w:color w:val="FFFFFF"/>
                <w:sz w:val="24"/>
              </w:rPr>
              <w:t>Desenho</w:t>
            </w:r>
          </w:p>
        </w:tc>
        <w:tc>
          <w:tcPr>
            <w:tcW w:type="dxa" w:w="3163"/>
            <w:shd w:val="clear" w:color="auto" w:fill="143C64"/>
          </w:tcPr>
          <w:p>
            <w:pPr>
              <w:spacing w:after="0"/>
              <w:jc w:val="left"/>
            </w:pPr>
            <w:r/>
            <w:r>
              <w:rPr>
                <w:rFonts w:ascii="Calibri" w:hAnsi="Calibri"/>
                <w:b/>
                <w:color w:val="FFFFFF"/>
                <w:sz w:val="24"/>
              </w:rPr>
              <w:t>Identificadores e verificação</w:t>
            </w:r>
          </w:p>
        </w:tc>
      </w:tr>
      <w:tr>
        <w:trPr>
          <w:cantSplit/>
        </w:trPr>
        <w:tc>
          <w:tcPr>
            <w:tcW w:type="dxa" w:w="3546"/>
          </w:tcPr>
          <w:p>
            <w:pPr>
              <w:spacing w:after="0"/>
              <w:jc w:val="left"/>
            </w:pPr>
            <w:r/>
            <w:r>
              <w:rPr>
                <w:rFonts w:ascii="Calibri" w:hAnsi="Calibri"/>
                <w:b w:val="0"/>
                <w:color w:val="1A1A1A"/>
                <w:sz w:val="24"/>
              </w:rPr>
              <w:t>Madero-Pérez J, Gil-Martinez M, Muñoz-Gonzalez C, Fakih D, Martin-Marfil P, Fakih-Gomez N. Guide for Managing Vascular Occlusion Caused by Fillers with Exclusive Cutaneous Involvement. Aesthetic Plast Surg. 2025;50(5):2068-2082.</w:t>
            </w:r>
          </w:p>
        </w:tc>
        <w:tc>
          <w:tcPr>
            <w:tcW w:type="dxa" w:w="2363"/>
          </w:tcPr>
          <w:p>
            <w:pPr>
              <w:spacing w:after="0"/>
              <w:jc w:val="left"/>
            </w:pPr>
            <w:r/>
            <w:r>
              <w:rPr>
                <w:rFonts w:ascii="Calibri" w:hAnsi="Calibri"/>
                <w:b w:val="0"/>
                <w:color w:val="1A1A1A"/>
                <w:sz w:val="24"/>
              </w:rPr>
              <w:t>Revisão sistemática</w:t>
            </w:r>
          </w:p>
        </w:tc>
        <w:tc>
          <w:tcPr>
            <w:tcW w:type="dxa" w:w="3163"/>
          </w:tcPr>
          <w:p>
            <w:pPr>
              <w:spacing w:after="0"/>
              <w:jc w:val="left"/>
            </w:pPr>
            <w:r/>
            <w:r>
              <w:rPr>
                <w:rFonts w:ascii="Calibri" w:hAnsi="Calibri"/>
                <w:b w:val="0"/>
                <w:color w:val="1A1A1A"/>
                <w:sz w:val="24"/>
              </w:rPr>
              <w:t>PMID 40770496</w:t>
            </w:r>
          </w:p>
          <w:p>
            <w:pPr>
              <w:spacing w:after="0"/>
              <w:jc w:val="left"/>
            </w:pPr>
            <w:r>
              <w:rPr>
                <w:rFonts w:ascii="Calibri" w:hAnsi="Calibri"/>
                <w:b w:val="0"/>
                <w:color w:val="1A1A1A"/>
                <w:sz w:val="24"/>
              </w:rPr>
              <w:t>DOI 10.1007/s00266-025-05104-3</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Madero-Pérez J, Gil-Martinez M, Arrien L, Nazari S, Pourani MR, Martin-Marfil P, Fakih-Gomez N. Guide for Managing Vascular Occlusion Due to Fillers with Extended Neuro-Ophthalmic Involvement. Aesthetic Plast Surg. 2026;50(11):4387-4404.</w:t>
            </w:r>
          </w:p>
        </w:tc>
        <w:tc>
          <w:tcPr>
            <w:tcW w:type="dxa" w:w="2363"/>
            <w:shd w:val="clear" w:color="auto" w:fill="F2F5F8"/>
          </w:tcPr>
          <w:p>
            <w:pPr>
              <w:spacing w:after="0"/>
              <w:jc w:val="left"/>
            </w:pPr>
            <w:r/>
            <w:r>
              <w:rPr>
                <w:rFonts w:ascii="Calibri" w:hAnsi="Calibri"/>
                <w:b w:val="0"/>
                <w:color w:val="1A1A1A"/>
                <w:sz w:val="24"/>
              </w:rPr>
              <w:t>Revisão (35 artigos, PRISMA 2020)</w:t>
            </w:r>
          </w:p>
        </w:tc>
        <w:tc>
          <w:tcPr>
            <w:tcW w:type="dxa" w:w="3163"/>
            <w:shd w:val="clear" w:color="auto" w:fill="F2F5F8"/>
          </w:tcPr>
          <w:p>
            <w:pPr>
              <w:spacing w:after="0"/>
              <w:jc w:val="left"/>
            </w:pPr>
            <w:r/>
            <w:r>
              <w:rPr>
                <w:rFonts w:ascii="Calibri" w:hAnsi="Calibri"/>
                <w:b w:val="0"/>
                <w:color w:val="1A1A1A"/>
                <w:sz w:val="24"/>
              </w:rPr>
              <w:t>PMID 41840246</w:t>
            </w:r>
          </w:p>
          <w:p>
            <w:pPr>
              <w:spacing w:after="0"/>
              <w:jc w:val="left"/>
            </w:pPr>
            <w:r>
              <w:rPr>
                <w:rFonts w:ascii="Calibri" w:hAnsi="Calibri"/>
                <w:b w:val="0"/>
                <w:color w:val="1A1A1A"/>
                <w:sz w:val="24"/>
              </w:rPr>
              <w:t>DOI 10.1007/s00266-026-05792-5</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Madero-Pérez J, Gil-Martinez M, Muñoz-Gonzalez C, Martin-Marfil P, Fakih-Gomez N. Essential Pharmaceutical Drugs in the Filler Emergency Kit. Aesthetic Plast Surg. 2025;49(14):4043-4056.</w:t>
            </w:r>
          </w:p>
        </w:tc>
        <w:tc>
          <w:tcPr>
            <w:tcW w:type="dxa" w:w="2363"/>
          </w:tcPr>
          <w:p>
            <w:pPr>
              <w:spacing w:after="0"/>
              <w:jc w:val="left"/>
            </w:pPr>
            <w:r/>
            <w:r>
              <w:rPr>
                <w:rFonts w:ascii="Calibri" w:hAnsi="Calibri"/>
                <w:b w:val="0"/>
                <w:color w:val="1A1A1A"/>
                <w:sz w:val="24"/>
              </w:rPr>
              <w:t>Revisão</w:t>
            </w:r>
          </w:p>
        </w:tc>
        <w:tc>
          <w:tcPr>
            <w:tcW w:type="dxa" w:w="3163"/>
          </w:tcPr>
          <w:p>
            <w:pPr>
              <w:spacing w:after="0"/>
              <w:jc w:val="left"/>
            </w:pPr>
            <w:r/>
            <w:r>
              <w:rPr>
                <w:rFonts w:ascii="Calibri" w:hAnsi="Calibri"/>
                <w:b w:val="0"/>
                <w:color w:val="1A1A1A"/>
                <w:sz w:val="24"/>
              </w:rPr>
              <w:t>PMID 40164895</w:t>
            </w:r>
          </w:p>
          <w:p>
            <w:pPr>
              <w:spacing w:after="0"/>
              <w:jc w:val="left"/>
            </w:pPr>
            <w:r>
              <w:rPr>
                <w:rFonts w:ascii="Calibri" w:hAnsi="Calibri"/>
                <w:b w:val="0"/>
                <w:color w:val="1A1A1A"/>
                <w:sz w:val="24"/>
              </w:rPr>
              <w:t>DOI 10.1007/s00266-025-04808-w</w:t>
            </w:r>
          </w:p>
          <w:p>
            <w:pPr>
              <w:spacing w:after="0"/>
              <w:jc w:val="left"/>
            </w:pPr>
            <w:r>
              <w:rPr>
                <w:rFonts w:ascii="Calibri" w:hAnsi="Calibri"/>
                <w:b w:val="0"/>
                <w:color w:val="1A1A1A"/>
                <w:sz w:val="24"/>
              </w:rPr>
              <w:t>Verificado em 25 de agosto de 2026</w:t>
            </w:r>
          </w:p>
        </w:tc>
      </w:tr>
      <w:tr>
        <w:trPr>
          <w:cantSplit/>
        </w:trPr>
        <w:tc>
          <w:tcPr>
            <w:tcW w:type="dxa" w:w="3546"/>
            <w:shd w:val="clear" w:color="auto" w:fill="F2F5F8"/>
          </w:tcPr>
          <w:p>
            <w:pPr>
              <w:spacing w:after="0"/>
              <w:jc w:val="left"/>
            </w:pPr>
            <w:r/>
            <w:r>
              <w:rPr>
                <w:rFonts w:ascii="Calibri" w:hAnsi="Calibri"/>
                <w:b w:val="0"/>
                <w:color w:val="1A1A1A"/>
                <w:sz w:val="24"/>
              </w:rPr>
              <w:t>Paluch Ł, Pietruski P, Noszczyk B, Kwiek B, Ambroziak M. Intra-rater reproducibility of shear wave elastography in the evaluation of facial skin. Postepy Dermatol Alergol. 37(3):371-376.</w:t>
            </w:r>
          </w:p>
        </w:tc>
        <w:tc>
          <w:tcPr>
            <w:tcW w:type="dxa" w:w="2363"/>
            <w:shd w:val="clear" w:color="auto" w:fill="F2F5F8"/>
          </w:tcPr>
          <w:p>
            <w:pPr>
              <w:spacing w:after="0"/>
              <w:jc w:val="left"/>
            </w:pPr>
            <w:r/>
            <w:r>
              <w:rPr>
                <w:rFonts w:ascii="Calibri" w:hAnsi="Calibri"/>
                <w:b w:val="0"/>
                <w:color w:val="1A1A1A"/>
                <w:sz w:val="24"/>
              </w:rPr>
              <w:t>Estudo transversal, 57 participantes</w:t>
            </w:r>
          </w:p>
        </w:tc>
        <w:tc>
          <w:tcPr>
            <w:tcW w:type="dxa" w:w="3163"/>
            <w:shd w:val="clear" w:color="auto" w:fill="F2F5F8"/>
          </w:tcPr>
          <w:p>
            <w:pPr>
              <w:spacing w:after="0"/>
              <w:jc w:val="left"/>
            </w:pPr>
            <w:r/>
            <w:r>
              <w:rPr>
                <w:rFonts w:ascii="Calibri" w:hAnsi="Calibri"/>
                <w:b w:val="0"/>
                <w:color w:val="1A1A1A"/>
                <w:sz w:val="24"/>
              </w:rPr>
              <w:t>PMID 32792878</w:t>
            </w:r>
          </w:p>
          <w:p>
            <w:pPr>
              <w:spacing w:after="0"/>
              <w:jc w:val="left"/>
            </w:pPr>
            <w:r>
              <w:rPr>
                <w:rFonts w:ascii="Calibri" w:hAnsi="Calibri"/>
                <w:b w:val="0"/>
                <w:color w:val="1A1A1A"/>
                <w:sz w:val="24"/>
              </w:rPr>
              <w:t>DOI 10.5114/ada.2018.81144</w:t>
            </w:r>
          </w:p>
          <w:p>
            <w:pPr>
              <w:spacing w:after="0"/>
              <w:jc w:val="left"/>
            </w:pPr>
            <w:r>
              <w:rPr>
                <w:rFonts w:ascii="Calibri" w:hAnsi="Calibri"/>
                <w:b w:val="0"/>
                <w:color w:val="1A1A1A"/>
                <w:sz w:val="24"/>
              </w:rPr>
              <w:t>Verificado em 25 de agosto de 2026</w:t>
            </w:r>
          </w:p>
        </w:tc>
      </w:tr>
      <w:tr>
        <w:trPr>
          <w:cantSplit/>
        </w:trPr>
        <w:tc>
          <w:tcPr>
            <w:tcW w:type="dxa" w:w="3546"/>
          </w:tcPr>
          <w:p>
            <w:pPr>
              <w:spacing w:after="0"/>
              <w:jc w:val="left"/>
            </w:pPr>
            <w:r/>
            <w:r>
              <w:rPr>
                <w:rFonts w:ascii="Calibri" w:hAnsi="Calibri"/>
                <w:b w:val="0"/>
                <w:color w:val="1A1A1A"/>
                <w:sz w:val="24"/>
              </w:rPr>
              <w:t>Colceriu AA, Ifteni PI, Rogozea L, Leașu FG, Stuckler D. The Impact of Artificial Intelligence on Facial Aesthetic Surgery: A Systematic Review. Aesthet Surg J Open Forum. 2026;8:ojag114.</w:t>
            </w:r>
          </w:p>
        </w:tc>
        <w:tc>
          <w:tcPr>
            <w:tcW w:type="dxa" w:w="2363"/>
          </w:tcPr>
          <w:p>
            <w:pPr>
              <w:spacing w:after="0"/>
              <w:jc w:val="left"/>
            </w:pPr>
            <w:r/>
            <w:r>
              <w:rPr>
                <w:rFonts w:ascii="Calibri" w:hAnsi="Calibri"/>
                <w:b w:val="0"/>
                <w:color w:val="1A1A1A"/>
                <w:sz w:val="24"/>
              </w:rPr>
              <w:t>Revisão sistemática (29 de 1.832 registros)</w:t>
            </w:r>
          </w:p>
        </w:tc>
        <w:tc>
          <w:tcPr>
            <w:tcW w:type="dxa" w:w="3163"/>
          </w:tcPr>
          <w:p>
            <w:pPr>
              <w:spacing w:after="0"/>
              <w:jc w:val="left"/>
            </w:pPr>
            <w:r/>
            <w:r>
              <w:rPr>
                <w:rFonts w:ascii="Calibri" w:hAnsi="Calibri"/>
                <w:b w:val="0"/>
                <w:color w:val="1A1A1A"/>
                <w:sz w:val="24"/>
              </w:rPr>
              <w:t>PMID 42422339</w:t>
            </w:r>
          </w:p>
          <w:p>
            <w:pPr>
              <w:spacing w:after="0"/>
              <w:jc w:val="left"/>
            </w:pPr>
            <w:r>
              <w:rPr>
                <w:rFonts w:ascii="Calibri" w:hAnsi="Calibri"/>
                <w:b w:val="0"/>
                <w:color w:val="1A1A1A"/>
                <w:sz w:val="24"/>
              </w:rPr>
              <w:t>DOI 10.1093/asjof/ojag114</w:t>
            </w:r>
          </w:p>
          <w:p>
            <w:pPr>
              <w:spacing w:after="0"/>
              <w:jc w:val="left"/>
            </w:pPr>
            <w:r>
              <w:rPr>
                <w:rFonts w:ascii="Calibri" w:hAnsi="Calibri"/>
                <w:b w:val="0"/>
                <w:color w:val="1A1A1A"/>
                <w:sz w:val="24"/>
              </w:rPr>
              <w:t>Verificado em 25 de agosto de 2026</w:t>
            </w:r>
          </w:p>
        </w:tc>
      </w:tr>
    </w:tbl>
    <w:p>
      <w:pPr>
        <w:spacing w:after="120"/>
        <w:jc w:val="both"/>
      </w:pPr>
      <w:r>
        <w:rPr>
          <w:rFonts w:ascii="Calibri" w:hAnsi="Calibri"/>
          <w:b w:val="0"/>
          <w:i/>
          <w:color w:val="1A1A1A"/>
          <w:sz w:val="24"/>
        </w:rPr>
        <w:t>Fonte de verificação: PubMed, Biblioteca Nacional de Medicina dos Estados Unidos. A citação de um estudo neste pacote não implica endosso de conduta clínica nem transposição automática de sua conclusão para o escopo odontológico, que depende de análise institucional própria.</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N5-CHK-01 · Checklist de Segurança Clínica · versão 2.0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N5-CHK-01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