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POP-N5-01  Consulta, avaliação e planejamento em Harmonização Orofacial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POP-N5-01. Versão 1.0. Emissão em 26 de agosto de 2026. Próxima revisão em até doze meses. Onda de produção 1. Situação de escopo: Livre.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a primeira consulta em Harmonização Orofacial, de modo que a indicação, o risco individual e o plano de tratamento estejam documentados antes de qualquer procedimento. Aplica-se a todo atendimento inicial e a toda reavaliação que anteceda novo plano. Não cobre a execução dos procedimentos, tratada nos POPs específicos.</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A obrigação de manter rotinas e procedimentos operacionais padrão decorre da RDC Anvisa nº 1.002/2025, art. 110. O dever de informação, o consentimento e o acesso ao prontuário decorrem da Lei nº 15.378/2026 e do Código de Ética Odontológica. O tratamento de dados pessoais e de imagem observa a Lei nº 13.709/2018.</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com capacitação registrada para os procedimentos que pretende indicar. A capacitação deve constar do registro de treinamento do serviço.</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Prontuário, formulário de anamnese, instrumento de exame clínico, régua ou compasso de medição quando utilizado, equipamento de documentação fotográfica padronizada, termo de consentimento específico e termo de uso de imagem.</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Identificação do paciente conferida e prontuário disponível.</w:t>
      </w:r>
    </w:p>
    <w:p>
      <w:pPr>
        <w:pStyle w:val="ListBullet"/>
        <w:spacing w:after="60"/>
        <w:ind w:left="397"/>
        <w:jc w:val="both"/>
      </w:pPr>
      <w:r>
        <w:rPr>
          <w:rFonts w:ascii="Calibri" w:hAnsi="Calibri"/>
          <w:color w:val="1A1A1A"/>
          <w:sz w:val="24"/>
        </w:rPr>
        <w:t>☐  Anamnese atualizada, incluindo comorbidades, alergias, medicações em uso, anticoagulantes, antiagregantes, imunossupressores e gestação quando aplicável.</w:t>
      </w:r>
    </w:p>
    <w:p>
      <w:pPr>
        <w:pStyle w:val="ListBullet"/>
        <w:spacing w:after="60"/>
        <w:ind w:left="397"/>
        <w:jc w:val="both"/>
      </w:pPr>
      <w:r>
        <w:rPr>
          <w:rFonts w:ascii="Calibri" w:hAnsi="Calibri"/>
          <w:color w:val="1A1A1A"/>
          <w:sz w:val="24"/>
        </w:rPr>
        <w:t>☐  Histórico de procedimentos estéticos prévios na face, com produto, região e época, na medida em que o paciente souber informar.</w:t>
      </w:r>
    </w:p>
    <w:p>
      <w:pPr>
        <w:pStyle w:val="ListBullet"/>
        <w:spacing w:after="60"/>
        <w:ind w:left="397"/>
        <w:jc w:val="both"/>
      </w:pPr>
      <w:r>
        <w:rPr>
          <w:rFonts w:ascii="Calibri" w:hAnsi="Calibri"/>
          <w:color w:val="1A1A1A"/>
          <w:sz w:val="24"/>
        </w:rPr>
        <w:t>☐  Antecedente de evento adverso em procedimento anterior.</w:t>
      </w:r>
    </w:p>
    <w:p>
      <w:pPr>
        <w:pStyle w:val="ListBullet"/>
        <w:spacing w:after="60"/>
        <w:ind w:left="397"/>
        <w:jc w:val="both"/>
      </w:pPr>
      <w:r>
        <w:rPr>
          <w:rFonts w:ascii="Calibri" w:hAnsi="Calibri"/>
          <w:color w:val="1A1A1A"/>
          <w:sz w:val="24"/>
        </w:rPr>
        <w:t>☐  Expectativa do paciente registrada com as palavras dele.</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Realizar exame clínico da face, com avaliação estática e dinâmica.</w:t>
      </w:r>
    </w:p>
    <w:p>
      <w:pPr>
        <w:pStyle w:val="ListNumber"/>
        <w:spacing w:after="60"/>
        <w:ind w:left="397"/>
        <w:jc w:val="both"/>
      </w:pPr>
      <w:r>
        <w:rPr>
          <w:rFonts w:ascii="Calibri" w:hAnsi="Calibri"/>
          <w:color w:val="1A1A1A"/>
          <w:sz w:val="24"/>
        </w:rPr>
        <w:t>Registrar achados relevantes, assimetrias preexistentes e limitações anatômicas.</w:t>
      </w:r>
    </w:p>
    <w:p>
      <w:pPr>
        <w:pStyle w:val="ListNumber"/>
        <w:spacing w:after="60"/>
        <w:ind w:left="397"/>
        <w:jc w:val="both"/>
      </w:pPr>
      <w:r>
        <w:rPr>
          <w:rFonts w:ascii="Calibri" w:hAnsi="Calibri"/>
          <w:color w:val="1A1A1A"/>
          <w:sz w:val="24"/>
        </w:rPr>
        <w:t>Realizar documentação fotográfica padronizada conforme o POP-N5-12.</w:t>
      </w:r>
    </w:p>
    <w:p>
      <w:pPr>
        <w:pStyle w:val="ListNumber"/>
        <w:spacing w:after="60"/>
        <w:ind w:left="397"/>
        <w:jc w:val="both"/>
      </w:pPr>
      <w:r>
        <w:rPr>
          <w:rFonts w:ascii="Calibri" w:hAnsi="Calibri"/>
          <w:color w:val="1A1A1A"/>
          <w:sz w:val="24"/>
        </w:rPr>
        <w:t>Definir hipótese, objetivos realistas e plano de tratamento individualizado, incluindo alternativas e a opção de não tratar.</w:t>
      </w:r>
    </w:p>
    <w:p>
      <w:pPr>
        <w:pStyle w:val="ListNumber"/>
        <w:spacing w:after="60"/>
        <w:ind w:left="397"/>
        <w:jc w:val="both"/>
      </w:pPr>
      <w:r>
        <w:rPr>
          <w:rFonts w:ascii="Calibri" w:hAnsi="Calibri"/>
          <w:color w:val="1A1A1A"/>
          <w:sz w:val="24"/>
        </w:rPr>
        <w:t>Discutir riscos previsíveis, sinais de alerta e conduta esperada do paciente diante de cada sinal.</w:t>
      </w:r>
    </w:p>
    <w:p>
      <w:pPr>
        <w:pStyle w:val="ListNumber"/>
        <w:spacing w:after="60"/>
        <w:ind w:left="397"/>
        <w:jc w:val="both"/>
      </w:pPr>
      <w:r>
        <w:rPr>
          <w:rFonts w:ascii="Calibri" w:hAnsi="Calibri"/>
          <w:color w:val="1A1A1A"/>
          <w:sz w:val="24"/>
        </w:rPr>
        <w:t>Obter consentimento específico por procedimento, assinado, e consentimento separado para uso de imagem quando houver.</w:t>
      </w:r>
    </w:p>
    <w:p>
      <w:pPr>
        <w:pStyle w:val="ListNumber"/>
        <w:spacing w:after="60"/>
        <w:ind w:left="397"/>
        <w:jc w:val="both"/>
      </w:pPr>
      <w:r>
        <w:rPr>
          <w:rFonts w:ascii="Calibri" w:hAnsi="Calibri"/>
          <w:color w:val="1A1A1A"/>
          <w:sz w:val="24"/>
        </w:rPr>
        <w:t>Definir cronograma, número de sessões previstas e critérios de reavaliação.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Expectativa incompatível com o resultado tecnicamente possível.</w:t>
      </w:r>
    </w:p>
    <w:p>
      <w:pPr>
        <w:pStyle w:val="ListBullet"/>
        <w:spacing w:after="60"/>
        <w:ind w:left="397"/>
        <w:jc w:val="both"/>
      </w:pPr>
      <w:r>
        <w:rPr>
          <w:rFonts w:ascii="Calibri" w:hAnsi="Calibri"/>
          <w:color w:val="1A1A1A"/>
          <w:sz w:val="24"/>
        </w:rPr>
        <w:t>Sinais de transtorno relacionado à imagem corporal, insistência em correções sucessivas de alterações mínimas ou histórico de insatisfação com múltiplos profissionais.</w:t>
      </w:r>
    </w:p>
    <w:p>
      <w:pPr>
        <w:pStyle w:val="ListBullet"/>
        <w:spacing w:after="60"/>
        <w:ind w:left="397"/>
        <w:jc w:val="both"/>
      </w:pPr>
      <w:r>
        <w:rPr>
          <w:rFonts w:ascii="Calibri" w:hAnsi="Calibri"/>
          <w:color w:val="1A1A1A"/>
          <w:sz w:val="24"/>
        </w:rPr>
        <w:t>Comorbidade descompensada, infecção ativa na região ou uso de medicação que altere risco hemorrágico ou cicatricial.</w:t>
      </w:r>
    </w:p>
    <w:p>
      <w:pPr>
        <w:pStyle w:val="ListBullet"/>
        <w:spacing w:after="60"/>
        <w:ind w:left="397"/>
        <w:jc w:val="both"/>
      </w:pPr>
      <w:r>
        <w:rPr>
          <w:rFonts w:ascii="Calibri" w:hAnsi="Calibri"/>
          <w:color w:val="1A1A1A"/>
          <w:sz w:val="24"/>
        </w:rPr>
        <w:t>Impossibilidade de identificar o produto previamente aplicado na região pretendida.</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Não se aplica intercorrência durante a consulta. Caso qualquer sinal de alerta esteja presente, o plano não deve ser iniciado: registrar o achado, orientar o paciente, encaminhar quando indicado e reavaliar em nova consulta.</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Anamnese completa, com resposta a cada item, inclusive as negativas.</w:t>
      </w:r>
    </w:p>
    <w:p>
      <w:pPr>
        <w:pStyle w:val="ListBullet"/>
        <w:spacing w:after="60"/>
        <w:ind w:left="397"/>
        <w:jc w:val="both"/>
      </w:pPr>
      <w:r>
        <w:rPr>
          <w:rFonts w:ascii="Calibri" w:hAnsi="Calibri"/>
          <w:color w:val="1A1A1A"/>
          <w:sz w:val="24"/>
        </w:rPr>
        <w:t>Exame clínico, achados e assimetrias preexistentes.</w:t>
      </w:r>
    </w:p>
    <w:p>
      <w:pPr>
        <w:pStyle w:val="ListBullet"/>
        <w:spacing w:after="60"/>
        <w:ind w:left="397"/>
        <w:jc w:val="both"/>
      </w:pPr>
      <w:r>
        <w:rPr>
          <w:rFonts w:ascii="Calibri" w:hAnsi="Calibri"/>
          <w:color w:val="1A1A1A"/>
          <w:sz w:val="24"/>
        </w:rPr>
        <w:t>Plano proposto, alternativas discutidas e decisão do paciente.</w:t>
      </w:r>
    </w:p>
    <w:p>
      <w:pPr>
        <w:pStyle w:val="ListBullet"/>
        <w:spacing w:after="60"/>
        <w:ind w:left="397"/>
        <w:jc w:val="both"/>
      </w:pPr>
      <w:r>
        <w:rPr>
          <w:rFonts w:ascii="Calibri" w:hAnsi="Calibri"/>
          <w:color w:val="1A1A1A"/>
          <w:sz w:val="24"/>
        </w:rPr>
        <w:t>Termos assinados, com data e via entregue ao paciente.</w:t>
      </w:r>
    </w:p>
    <w:p>
      <w:pPr>
        <w:pStyle w:val="ListBullet"/>
        <w:spacing w:after="60"/>
        <w:ind w:left="397"/>
        <w:jc w:val="both"/>
      </w:pPr>
      <w:r>
        <w:rPr>
          <w:rFonts w:ascii="Calibri" w:hAnsi="Calibri"/>
          <w:color w:val="1A1A1A"/>
          <w:sz w:val="24"/>
        </w:rPr>
        <w:t>Fotografias com data e finalidade clínica declarada.</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Entregar ao paciente cópia do plano e das orientações. Agendar a sessão seguinte apenas após o consentimento assinado. Registrar o canal de contato informado ao paciente.</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RDC Anvisa nº 1.002/2025. Lei nº 15.378/2026. Lei nº 13.709/2018. Resolução CFO nº 118/2012. Documentos 08 e 09 do pacote do Núcleo 5.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POP-N5-01 · Consulta, avaliação e planejamento em Harmonização Orofacial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