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INSTRUMENTO DERIVADO</w:t>
      </w:r>
    </w:p>
    <w:p>
      <w:pPr>
        <w:spacing w:after="160"/>
        <w:jc w:val="center"/>
      </w:pPr>
      <w:r>
        <w:rPr>
          <w:rFonts w:ascii="Calibri" w:hAnsi="Calibri"/>
          <w:b/>
          <w:color w:val="143C64"/>
          <w:sz w:val="48"/>
        </w:rPr>
        <w:t>Cartões de Consulta Rápida</w:t>
      </w:r>
    </w:p>
    <w:p>
      <w:pPr>
        <w:spacing w:after="720"/>
        <w:jc w:val="center"/>
      </w:pPr>
      <w:r>
        <w:rPr>
          <w:rFonts w:ascii="Calibri" w:hAnsi="Calibri"/>
          <w:b w:val="0"/>
          <w:i w:val="0"/>
          <w:color w:val="444A52"/>
          <w:sz w:val="26"/>
        </w:rPr>
        <w:t>Resumos de página única, com quatro passos, destinados à consulta sob pressão de tempo. Derivados dos POPs aprovados e subordinados a eles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87"/>
        <w:gridCol w:w="5385"/>
      </w:tblGrid>
      <w:tr>
        <w:trPr>
          <w:cantSplit/>
          <w:tblHeader/>
        </w:trPr>
        <w:tc>
          <w:tcPr>
            <w:tcW w:type="dxa" w:w="3687"/>
            <w:shd w:val="clear" w:color="auto" w:fill="143C64"/>
          </w:tcPr>
          <w:p>
            <w:pPr>
              <w:spacing w:after="0"/>
              <w:jc w:val="left"/>
            </w:pPr>
            <w:r/>
            <w:r>
              <w:rPr>
                <w:rFonts w:ascii="Calibri" w:hAnsi="Calibri"/>
                <w:b/>
                <w:color w:val="FFFFFF"/>
                <w:sz w:val="24"/>
              </w:rPr>
              <w:t>Identificação do documento</w:t>
            </w:r>
          </w:p>
        </w:tc>
        <w:tc>
          <w:tcPr>
            <w:tcW w:type="dxa" w:w="5385"/>
            <w:shd w:val="clear" w:color="auto" w:fill="143C64"/>
          </w:tcPr>
          <w:p>
            <w:pPr>
              <w:spacing w:after="0"/>
              <w:jc w:val="left"/>
            </w:pPr>
            <w:r/>
            <w:r>
              <w:rPr>
                <w:rFonts w:ascii="Calibri" w:hAnsi="Calibri"/>
                <w:b/>
                <w:color w:val="FFFFFF"/>
                <w:sz w:val="24"/>
              </w:rPr>
              <w:t>Registro</w:t>
            </w:r>
          </w:p>
        </w:tc>
      </w:tr>
      <w:tr>
        <w:trPr>
          <w:cantSplit/>
        </w:trPr>
        <w:tc>
          <w:tcPr>
            <w:tcW w:type="dxa" w:w="3687"/>
          </w:tcPr>
          <w:p>
            <w:pPr>
              <w:spacing w:after="0"/>
              <w:jc w:val="left"/>
            </w:pPr>
            <w:r/>
            <w:r>
              <w:rPr>
                <w:rFonts w:ascii="Calibri" w:hAnsi="Calibri"/>
                <w:b w:val="0"/>
                <w:color w:val="1A1A1A"/>
                <w:sz w:val="24"/>
              </w:rPr>
              <w:t>Código de controle</w:t>
            </w:r>
          </w:p>
        </w:tc>
        <w:tc>
          <w:tcPr>
            <w:tcW w:type="dxa" w:w="5385"/>
          </w:tcPr>
          <w:p>
            <w:pPr>
              <w:spacing w:after="0"/>
              <w:jc w:val="left"/>
            </w:pPr>
            <w:r/>
            <w:r>
              <w:rPr>
                <w:rFonts w:ascii="Calibri" w:hAnsi="Calibri"/>
                <w:b w:val="0"/>
                <w:color w:val="1A1A1A"/>
                <w:sz w:val="24"/>
              </w:rPr>
              <w:t>N5-CART-01</w:t>
            </w:r>
          </w:p>
        </w:tc>
      </w:tr>
      <w:tr>
        <w:trPr>
          <w:cantSplit/>
        </w:trPr>
        <w:tc>
          <w:tcPr>
            <w:tcW w:type="dxa" w:w="3687"/>
            <w:shd w:val="clear" w:color="auto" w:fill="F2F5F8"/>
          </w:tcPr>
          <w:p>
            <w:pPr>
              <w:spacing w:after="0"/>
              <w:jc w:val="left"/>
            </w:pPr>
            <w:r/>
            <w:r>
              <w:rPr>
                <w:rFonts w:ascii="Calibri" w:hAnsi="Calibri"/>
                <w:b w:val="0"/>
                <w:color w:val="1A1A1A"/>
                <w:sz w:val="24"/>
              </w:rPr>
              <w:t>Versão</w:t>
            </w:r>
          </w:p>
        </w:tc>
        <w:tc>
          <w:tcPr>
            <w:tcW w:type="dxa" w:w="5385"/>
            <w:shd w:val="clear" w:color="auto" w:fill="F2F5F8"/>
          </w:tcPr>
          <w:p>
            <w:pPr>
              <w:spacing w:after="0"/>
              <w:jc w:val="left"/>
            </w:pPr>
            <w:r/>
            <w:r>
              <w:rPr>
                <w:rFonts w:ascii="Calibri" w:hAnsi="Calibri"/>
                <w:b w:val="0"/>
                <w:color w:val="1A1A1A"/>
                <w:sz w:val="24"/>
              </w:rPr>
              <w:t>1.0</w:t>
            </w:r>
          </w:p>
        </w:tc>
      </w:tr>
      <w:tr>
        <w:trPr>
          <w:cantSplit/>
        </w:trPr>
        <w:tc>
          <w:tcPr>
            <w:tcW w:type="dxa" w:w="3687"/>
          </w:tcPr>
          <w:p>
            <w:pPr>
              <w:spacing w:after="0"/>
              <w:jc w:val="left"/>
            </w:pPr>
            <w:r/>
            <w:r>
              <w:rPr>
                <w:rFonts w:ascii="Calibri" w:hAnsi="Calibri"/>
                <w:b w:val="0"/>
                <w:color w:val="1A1A1A"/>
                <w:sz w:val="24"/>
              </w:rPr>
              <w:t>Data de emissão</w:t>
            </w:r>
          </w:p>
        </w:tc>
        <w:tc>
          <w:tcPr>
            <w:tcW w:type="dxa" w:w="5385"/>
          </w:tcPr>
          <w:p>
            <w:pPr>
              <w:spacing w:after="0"/>
              <w:jc w:val="left"/>
            </w:pPr>
            <w:r/>
            <w:r>
              <w:rPr>
                <w:rFonts w:ascii="Calibri" w:hAnsi="Calibri"/>
                <w:b w:val="0"/>
                <w:color w:val="1A1A1A"/>
                <w:sz w:val="24"/>
              </w:rPr>
              <w:t>26 de agosto de 2026</w:t>
            </w:r>
          </w:p>
        </w:tc>
      </w:tr>
      <w:tr>
        <w:trPr>
          <w:cantSplit/>
        </w:trPr>
        <w:tc>
          <w:tcPr>
            <w:tcW w:type="dxa" w:w="3687"/>
            <w:shd w:val="clear" w:color="auto" w:fill="F2F5F8"/>
          </w:tcPr>
          <w:p>
            <w:pPr>
              <w:spacing w:after="0"/>
              <w:jc w:val="left"/>
            </w:pPr>
            <w:r/>
            <w:r>
              <w:rPr>
                <w:rFonts w:ascii="Calibri" w:hAnsi="Calibri"/>
                <w:b w:val="0"/>
                <w:color w:val="1A1A1A"/>
                <w:sz w:val="24"/>
              </w:rPr>
              <w:t>Situação</w:t>
            </w:r>
          </w:p>
        </w:tc>
        <w:tc>
          <w:tcPr>
            <w:tcW w:type="dxa" w:w="5385"/>
            <w:shd w:val="clear" w:color="auto" w:fill="F2F5F8"/>
          </w:tcPr>
          <w:p>
            <w:pPr>
              <w:spacing w:after="0"/>
              <w:jc w:val="left"/>
            </w:pPr>
            <w:r/>
            <w:r>
              <w:rPr>
                <w:rFonts w:ascii="Calibri" w:hAnsi="Calibri"/>
                <w:b w:val="0"/>
                <w:color w:val="1A1A1A"/>
                <w:sz w:val="24"/>
              </w:rPr>
              <w:t>Submetido à deliberação do colegiado</w:t>
            </w:r>
          </w:p>
        </w:tc>
      </w:tr>
      <w:tr>
        <w:trPr>
          <w:cantSplit/>
        </w:trPr>
        <w:tc>
          <w:tcPr>
            <w:tcW w:type="dxa" w:w="3687"/>
          </w:tcPr>
          <w:p>
            <w:pPr>
              <w:spacing w:after="0"/>
              <w:jc w:val="left"/>
            </w:pPr>
            <w:r/>
            <w:r>
              <w:rPr>
                <w:rFonts w:ascii="Calibri" w:hAnsi="Calibri"/>
                <w:b w:val="0"/>
                <w:color w:val="1A1A1A"/>
                <w:sz w:val="24"/>
              </w:rPr>
              <w:t>Elaboração</w:t>
            </w:r>
          </w:p>
        </w:tc>
        <w:tc>
          <w:tcPr>
            <w:tcW w:type="dxa" w:w="5385"/>
          </w:tcPr>
          <w:p>
            <w:pPr>
              <w:spacing w:after="0"/>
              <w:jc w:val="left"/>
            </w:pPr>
            <w:r/>
            <w:r>
              <w:rPr>
                <w:rFonts w:ascii="Calibri" w:hAnsi="Calibri"/>
                <w:b w:val="0"/>
                <w:color w:val="1A1A1A"/>
                <w:sz w:val="24"/>
              </w:rPr>
              <w:t>Núcleo 5 · Inovação, Tecnologias e Segurança Clínica</w:t>
            </w:r>
          </w:p>
        </w:tc>
      </w:tr>
      <w:tr>
        <w:trPr>
          <w:cantSplit/>
        </w:trPr>
        <w:tc>
          <w:tcPr>
            <w:tcW w:type="dxa" w:w="3687"/>
            <w:shd w:val="clear" w:color="auto" w:fill="F2F5F8"/>
          </w:tcPr>
          <w:p>
            <w:pPr>
              <w:spacing w:after="0"/>
              <w:jc w:val="left"/>
            </w:pPr>
            <w:r/>
            <w:r>
              <w:rPr>
                <w:rFonts w:ascii="Calibri" w:hAnsi="Calibri"/>
                <w:b w:val="0"/>
                <w:color w:val="1A1A1A"/>
                <w:sz w:val="24"/>
              </w:rPr>
              <w:t>Natureza</w:t>
            </w:r>
          </w:p>
        </w:tc>
        <w:tc>
          <w:tcPr>
            <w:tcW w:type="dxa" w:w="5385"/>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687"/>
          </w:tcPr>
          <w:p>
            <w:pPr>
              <w:spacing w:after="0"/>
              <w:jc w:val="left"/>
            </w:pPr>
            <w:r/>
            <w:r>
              <w:rPr>
                <w:rFonts w:ascii="Calibri" w:hAnsi="Calibri"/>
                <w:b w:val="0"/>
                <w:color w:val="1A1A1A"/>
                <w:sz w:val="24"/>
              </w:rPr>
              <w:t>Condição de publicação</w:t>
            </w:r>
          </w:p>
        </w:tc>
        <w:tc>
          <w:tcPr>
            <w:tcW w:type="dxa" w:w="5385"/>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Regra de subordinação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O cartão não substitui o POP</w:t>
            </w:r>
          </w:p>
          <w:p>
            <w:pPr>
              <w:spacing w:after="0"/>
              <w:jc w:val="both"/>
            </w:pPr>
            <w:r>
              <w:rPr>
                <w:rFonts w:ascii="Calibri" w:hAnsi="Calibri"/>
                <w:color w:val="1A1A1A"/>
                <w:sz w:val="24"/>
              </w:rPr>
              <w:t>Um POP completo não se lê durante uma intercorrência. O cartão existe para resolver isso. Ele é derivado de POP aprovado, não é fonte, não contém decisão que não esteja no POP e não circula sem a referência ao documento de origem. Cartão sem POP correspondente é orientação sem rastreabilidade.</w:t>
            </w:r>
          </w:p>
        </w:tc>
      </w:tr>
    </w:tbl>
    <w:p>
      <w:pPr>
        <w:spacing w:after="80"/>
      </w:pPr>
    </w:p>
    <w:p>
      <w:pPr>
        <w:spacing w:after="120"/>
        <w:jc w:val="both"/>
      </w:pPr>
      <w:r>
        <w:rPr>
          <w:rFonts w:ascii="Calibri" w:hAnsi="Calibri"/>
          <w:b w:val="0"/>
          <w:i w:val="0"/>
          <w:color w:val="1A1A1A"/>
          <w:sz w:val="24"/>
        </w:rPr>
        <w:t>Impressão recomendada em página única, plastificada, afixada no ambiente onde o procedimento ocorre. Revisão obrigatória sempre que o POP de origem for revisado.</w:t>
      </w:r>
    </w:p>
    <w:p>
      <w:pPr>
        <w:keepNext/>
        <w:spacing w:before="360" w:after="160"/>
        <w:jc w:val="left"/>
        <w:pBdr>
          <w:bottom w:val="single" w:sz="8" w:space="4" w:color="143C64"/>
        </w:pBdr>
      </w:pPr>
      <w:r>
        <w:rPr>
          <w:rFonts w:ascii="Calibri" w:hAnsi="Calibri"/>
          <w:b/>
          <w:color w:val="143C64"/>
          <w:sz w:val="30"/>
        </w:rPr>
        <w:t>2  Cartões</w:t>
      </w:r>
    </w:p>
    <w:p>
      <w:pPr>
        <w:keepNext/>
        <w:spacing w:before="240" w:after="80"/>
        <w:jc w:val="left"/>
      </w:pPr>
      <w:r>
        <w:rPr>
          <w:rFonts w:ascii="Calibri" w:hAnsi="Calibri"/>
          <w:b/>
          <w:color w:val="143C64"/>
          <w:sz w:val="26"/>
        </w:rPr>
        <w:t>Suspeita de comprometimento vascular cutâneo</w:t>
      </w:r>
    </w:p>
    <w:p>
      <w:pPr>
        <w:spacing w:after="120"/>
        <w:jc w:val="both"/>
      </w:pPr>
      <w:r>
        <w:rPr>
          <w:rFonts w:ascii="Calibri" w:hAnsi="Calibri"/>
          <w:b w:val="0"/>
          <w:i/>
          <w:color w:val="1A1A1A"/>
          <w:sz w:val="24"/>
        </w:rPr>
        <w:t>Derivado de POP-N5-05. Não substitui o POP de origem.</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922"/>
        <w:gridCol w:w="7150"/>
      </w:tblGrid>
      <w:tr>
        <w:trPr>
          <w:cantSplit/>
          <w:tblHeader/>
        </w:trPr>
        <w:tc>
          <w:tcPr>
            <w:tcW w:type="dxa" w:w="1922"/>
            <w:shd w:val="clear" w:color="auto" w:fill="143C64"/>
          </w:tcPr>
          <w:p>
            <w:pPr>
              <w:spacing w:after="0"/>
              <w:jc w:val="left"/>
            </w:pPr>
            <w:r/>
            <w:r>
              <w:rPr>
                <w:rFonts w:ascii="Calibri" w:hAnsi="Calibri"/>
                <w:b/>
                <w:color w:val="FFFFFF"/>
                <w:sz w:val="24"/>
              </w:rPr>
              <w:t>Passo</w:t>
            </w:r>
          </w:p>
        </w:tc>
        <w:tc>
          <w:tcPr>
            <w:tcW w:type="dxa" w:w="7150"/>
            <w:shd w:val="clear" w:color="auto" w:fill="143C64"/>
          </w:tcPr>
          <w:p>
            <w:pPr>
              <w:spacing w:after="0"/>
              <w:jc w:val="left"/>
            </w:pPr>
            <w:r/>
            <w:r>
              <w:rPr>
                <w:rFonts w:ascii="Calibri" w:hAnsi="Calibri"/>
                <w:b/>
                <w:color w:val="FFFFFF"/>
                <w:sz w:val="24"/>
              </w:rPr>
              <w:t>Ação</w:t>
            </w:r>
          </w:p>
        </w:tc>
      </w:tr>
      <w:tr>
        <w:trPr>
          <w:cantSplit/>
        </w:trPr>
        <w:tc>
          <w:tcPr>
            <w:tcW w:type="dxa" w:w="1922"/>
          </w:tcPr>
          <w:p>
            <w:pPr>
              <w:spacing w:after="0"/>
              <w:jc w:val="left"/>
            </w:pPr>
            <w:r/>
            <w:r>
              <w:rPr>
                <w:rFonts w:ascii="Calibri" w:hAnsi="Calibri"/>
                <w:b w:val="0"/>
                <w:color w:val="1A1A1A"/>
                <w:sz w:val="24"/>
              </w:rPr>
              <w:t>1</w:t>
            </w:r>
          </w:p>
        </w:tc>
        <w:tc>
          <w:tcPr>
            <w:tcW w:type="dxa" w:w="7150"/>
          </w:tcPr>
          <w:p>
            <w:pPr>
              <w:spacing w:after="0"/>
              <w:jc w:val="left"/>
            </w:pPr>
            <w:r/>
            <w:r>
              <w:rPr>
                <w:rFonts w:ascii="Calibri" w:hAnsi="Calibri"/>
                <w:b w:val="0"/>
                <w:color w:val="1A1A1A"/>
                <w:sz w:val="24"/>
              </w:rPr>
              <w:t>Interromper agora. Anotar o horário do primeiro sinal.</w:t>
            </w:r>
          </w:p>
        </w:tc>
      </w:tr>
      <w:tr>
        <w:trPr>
          <w:cantSplit/>
        </w:trPr>
        <w:tc>
          <w:tcPr>
            <w:tcW w:type="dxa" w:w="1922"/>
            <w:shd w:val="clear" w:color="auto" w:fill="F2F5F8"/>
          </w:tcPr>
          <w:p>
            <w:pPr>
              <w:spacing w:after="0"/>
              <w:jc w:val="left"/>
            </w:pPr>
            <w:r/>
            <w:r>
              <w:rPr>
                <w:rFonts w:ascii="Calibri" w:hAnsi="Calibri"/>
                <w:b w:val="0"/>
                <w:color w:val="1A1A1A"/>
                <w:sz w:val="24"/>
              </w:rPr>
              <w:t>2</w:t>
            </w:r>
          </w:p>
        </w:tc>
        <w:tc>
          <w:tcPr>
            <w:tcW w:type="dxa" w:w="7150"/>
            <w:shd w:val="clear" w:color="auto" w:fill="F2F5F8"/>
          </w:tcPr>
          <w:p>
            <w:pPr>
              <w:spacing w:after="0"/>
              <w:jc w:val="left"/>
            </w:pPr>
            <w:r/>
            <w:r>
              <w:rPr>
                <w:rFonts w:ascii="Calibri" w:hAnsi="Calibri"/>
                <w:b w:val="0"/>
                <w:color w:val="1A1A1A"/>
                <w:sz w:val="24"/>
              </w:rPr>
              <w:t>Perguntar ativamente sobre alteração visual e sintoma neurológico. Se houver qualquer um, ir para o cartão POP-N5-06 e encaminhar sem esperar.</w:t>
            </w:r>
          </w:p>
        </w:tc>
      </w:tr>
      <w:tr>
        <w:trPr>
          <w:cantSplit/>
        </w:trPr>
        <w:tc>
          <w:tcPr>
            <w:tcW w:type="dxa" w:w="1922"/>
          </w:tcPr>
          <w:p>
            <w:pPr>
              <w:spacing w:after="0"/>
              <w:jc w:val="left"/>
            </w:pPr>
            <w:r/>
            <w:r>
              <w:rPr>
                <w:rFonts w:ascii="Calibri" w:hAnsi="Calibri"/>
                <w:b w:val="0"/>
                <w:color w:val="1A1A1A"/>
                <w:sz w:val="24"/>
              </w:rPr>
              <w:t>3</w:t>
            </w:r>
          </w:p>
        </w:tc>
        <w:tc>
          <w:tcPr>
            <w:tcW w:type="dxa" w:w="7150"/>
          </w:tcPr>
          <w:p>
            <w:pPr>
              <w:spacing w:after="0"/>
              <w:jc w:val="left"/>
            </w:pPr>
            <w:r/>
            <w:r>
              <w:rPr>
                <w:rFonts w:ascii="Calibri" w:hAnsi="Calibri"/>
                <w:b w:val="0"/>
                <w:color w:val="1A1A1A"/>
                <w:sz w:val="24"/>
              </w:rPr>
              <w:t>Aplicar o protocolo do serviço e anotar o horário de início. Reavaliar nos intervalos definidos, registrando cada reavaliação.</w:t>
            </w:r>
          </w:p>
        </w:tc>
      </w:tr>
      <w:tr>
        <w:trPr>
          <w:cantSplit/>
        </w:trPr>
        <w:tc>
          <w:tcPr>
            <w:tcW w:type="dxa" w:w="1922"/>
            <w:shd w:val="clear" w:color="auto" w:fill="F2F5F8"/>
          </w:tcPr>
          <w:p>
            <w:pPr>
              <w:spacing w:after="0"/>
              <w:jc w:val="left"/>
            </w:pPr>
            <w:r/>
            <w:r>
              <w:rPr>
                <w:rFonts w:ascii="Calibri" w:hAnsi="Calibri"/>
                <w:b w:val="0"/>
                <w:color w:val="1A1A1A"/>
                <w:sz w:val="24"/>
              </w:rPr>
              <w:t>4</w:t>
            </w:r>
          </w:p>
        </w:tc>
        <w:tc>
          <w:tcPr>
            <w:tcW w:type="dxa" w:w="7150"/>
            <w:shd w:val="clear" w:color="auto" w:fill="F2F5F8"/>
          </w:tcPr>
          <w:p>
            <w:pPr>
              <w:spacing w:after="0"/>
              <w:jc w:val="left"/>
            </w:pPr>
            <w:r/>
            <w:r>
              <w:rPr>
                <w:rFonts w:ascii="Calibri" w:hAnsi="Calibri"/>
                <w:b w:val="0"/>
                <w:color w:val="1A1A1A"/>
                <w:sz w:val="24"/>
              </w:rPr>
              <w:t>Sem melhora no intervalo previsto, encaminhar. Registrar tudo, orientar por escrito e agendar o seguimento.</w:t>
            </w:r>
          </w:p>
        </w:tc>
      </w:tr>
    </w:tbl>
    <w:p>
      <w:pPr>
        <w:spacing w:after="120"/>
      </w:pPr>
    </w:p>
    <w:p>
      <w:pPr>
        <w:keepNext/>
        <w:spacing w:before="240" w:after="80"/>
        <w:jc w:val="left"/>
      </w:pPr>
      <w:r>
        <w:rPr>
          <w:rFonts w:ascii="Calibri" w:hAnsi="Calibri"/>
          <w:b/>
          <w:color w:val="143C64"/>
          <w:sz w:val="26"/>
        </w:rPr>
        <w:t>Sintoma visual ou neurológico</w:t>
      </w:r>
    </w:p>
    <w:p>
      <w:pPr>
        <w:spacing w:after="120"/>
        <w:jc w:val="both"/>
      </w:pPr>
      <w:r>
        <w:rPr>
          <w:rFonts w:ascii="Calibri" w:hAnsi="Calibri"/>
          <w:b w:val="0"/>
          <w:i/>
          <w:color w:val="1A1A1A"/>
          <w:sz w:val="24"/>
        </w:rPr>
        <w:t>Derivado de POP-N5-06. Não substitui o POP de origem.</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835"/>
        <w:gridCol w:w="7237"/>
      </w:tblGrid>
      <w:tr>
        <w:trPr>
          <w:cantSplit/>
          <w:tblHeader/>
        </w:trPr>
        <w:tc>
          <w:tcPr>
            <w:tcW w:type="dxa" w:w="1835"/>
            <w:shd w:val="clear" w:color="auto" w:fill="143C64"/>
          </w:tcPr>
          <w:p>
            <w:pPr>
              <w:spacing w:after="0"/>
              <w:jc w:val="left"/>
            </w:pPr>
            <w:r/>
            <w:r>
              <w:rPr>
                <w:rFonts w:ascii="Calibri" w:hAnsi="Calibri"/>
                <w:b/>
                <w:color w:val="FFFFFF"/>
                <w:sz w:val="24"/>
              </w:rPr>
              <w:t>Passo</w:t>
            </w:r>
          </w:p>
        </w:tc>
        <w:tc>
          <w:tcPr>
            <w:tcW w:type="dxa" w:w="7237"/>
            <w:shd w:val="clear" w:color="auto" w:fill="143C64"/>
          </w:tcPr>
          <w:p>
            <w:pPr>
              <w:spacing w:after="0"/>
              <w:jc w:val="left"/>
            </w:pPr>
            <w:r/>
            <w:r>
              <w:rPr>
                <w:rFonts w:ascii="Calibri" w:hAnsi="Calibri"/>
                <w:b/>
                <w:color w:val="FFFFFF"/>
                <w:sz w:val="24"/>
              </w:rPr>
              <w:t>Ação</w:t>
            </w:r>
          </w:p>
        </w:tc>
      </w:tr>
      <w:tr>
        <w:trPr>
          <w:cantSplit/>
        </w:trPr>
        <w:tc>
          <w:tcPr>
            <w:tcW w:type="dxa" w:w="1835"/>
          </w:tcPr>
          <w:p>
            <w:pPr>
              <w:spacing w:after="0"/>
              <w:jc w:val="left"/>
            </w:pPr>
            <w:r/>
            <w:r>
              <w:rPr>
                <w:rFonts w:ascii="Calibri" w:hAnsi="Calibri"/>
                <w:b w:val="0"/>
                <w:color w:val="1A1A1A"/>
                <w:sz w:val="24"/>
              </w:rPr>
              <w:t>1</w:t>
            </w:r>
          </w:p>
        </w:tc>
        <w:tc>
          <w:tcPr>
            <w:tcW w:type="dxa" w:w="7237"/>
          </w:tcPr>
          <w:p>
            <w:pPr>
              <w:spacing w:after="0"/>
              <w:jc w:val="left"/>
            </w:pPr>
            <w:r/>
            <w:r>
              <w:rPr>
                <w:rFonts w:ascii="Calibri" w:hAnsi="Calibri"/>
                <w:b w:val="0"/>
                <w:color w:val="1A1A1A"/>
                <w:sz w:val="24"/>
              </w:rPr>
              <w:t>Interromper agora. Anotar o horário.</w:t>
            </w:r>
          </w:p>
        </w:tc>
      </w:tr>
      <w:tr>
        <w:trPr>
          <w:cantSplit/>
        </w:trPr>
        <w:tc>
          <w:tcPr>
            <w:tcW w:type="dxa" w:w="1835"/>
            <w:shd w:val="clear" w:color="auto" w:fill="F2F5F8"/>
          </w:tcPr>
          <w:p>
            <w:pPr>
              <w:spacing w:after="0"/>
              <w:jc w:val="left"/>
            </w:pPr>
            <w:r/>
            <w:r>
              <w:rPr>
                <w:rFonts w:ascii="Calibri" w:hAnsi="Calibri"/>
                <w:b w:val="0"/>
                <w:color w:val="1A1A1A"/>
                <w:sz w:val="24"/>
              </w:rPr>
              <w:t>2</w:t>
            </w:r>
          </w:p>
        </w:tc>
        <w:tc>
          <w:tcPr>
            <w:tcW w:type="dxa" w:w="7237"/>
            <w:shd w:val="clear" w:color="auto" w:fill="F2F5F8"/>
          </w:tcPr>
          <w:p>
            <w:pPr>
              <w:spacing w:after="0"/>
              <w:jc w:val="left"/>
            </w:pPr>
            <w:r/>
            <w:r>
              <w:rPr>
                <w:rFonts w:ascii="Calibri" w:hAnsi="Calibri"/>
                <w:b w:val="0"/>
                <w:color w:val="1A1A1A"/>
                <w:sz w:val="24"/>
              </w:rPr>
              <w:t>Acionar o encaminhamento de urgência imediatamente. Nenhum exame justifica atraso.</w:t>
            </w:r>
          </w:p>
        </w:tc>
      </w:tr>
      <w:tr>
        <w:trPr>
          <w:cantSplit/>
        </w:trPr>
        <w:tc>
          <w:tcPr>
            <w:tcW w:type="dxa" w:w="1835"/>
          </w:tcPr>
          <w:p>
            <w:pPr>
              <w:spacing w:after="0"/>
              <w:jc w:val="left"/>
            </w:pPr>
            <w:r/>
            <w:r>
              <w:rPr>
                <w:rFonts w:ascii="Calibri" w:hAnsi="Calibri"/>
                <w:b w:val="0"/>
                <w:color w:val="1A1A1A"/>
                <w:sz w:val="24"/>
              </w:rPr>
              <w:t>3</w:t>
            </w:r>
          </w:p>
        </w:tc>
        <w:tc>
          <w:tcPr>
            <w:tcW w:type="dxa" w:w="7237"/>
          </w:tcPr>
          <w:p>
            <w:pPr>
              <w:spacing w:after="0"/>
              <w:jc w:val="left"/>
            </w:pPr>
            <w:r/>
            <w:r>
              <w:rPr>
                <w:rFonts w:ascii="Calibri" w:hAnsi="Calibri"/>
                <w:b w:val="0"/>
                <w:color w:val="1A1A1A"/>
                <w:sz w:val="24"/>
              </w:rPr>
              <w:t>Em paralelo, e sem retardar o encaminhamento, aplicar o previsto no protocolo do serviço.</w:t>
            </w:r>
          </w:p>
        </w:tc>
      </w:tr>
      <w:tr>
        <w:trPr>
          <w:cantSplit/>
        </w:trPr>
        <w:tc>
          <w:tcPr>
            <w:tcW w:type="dxa" w:w="1835"/>
            <w:shd w:val="clear" w:color="auto" w:fill="F2F5F8"/>
          </w:tcPr>
          <w:p>
            <w:pPr>
              <w:spacing w:after="0"/>
              <w:jc w:val="left"/>
            </w:pPr>
            <w:r/>
            <w:r>
              <w:rPr>
                <w:rFonts w:ascii="Calibri" w:hAnsi="Calibri"/>
                <w:b w:val="0"/>
                <w:color w:val="1A1A1A"/>
                <w:sz w:val="24"/>
              </w:rPr>
              <w:t>4</w:t>
            </w:r>
          </w:p>
        </w:tc>
        <w:tc>
          <w:tcPr>
            <w:tcW w:type="dxa" w:w="7237"/>
            <w:shd w:val="clear" w:color="auto" w:fill="F2F5F8"/>
          </w:tcPr>
          <w:p>
            <w:pPr>
              <w:spacing w:after="0"/>
              <w:jc w:val="left"/>
            </w:pPr>
            <w:r/>
            <w:r>
              <w:rPr>
                <w:rFonts w:ascii="Calibri" w:hAnsi="Calibri"/>
                <w:b w:val="0"/>
                <w:color w:val="1A1A1A"/>
                <w:sz w:val="24"/>
              </w:rPr>
              <w:t>Informar ao serviço receptor: produto, lote, região, volume, horários e conduta adotada.</w:t>
            </w:r>
          </w:p>
        </w:tc>
      </w:tr>
    </w:tbl>
    <w:p>
      <w:pPr>
        <w:spacing w:after="120"/>
      </w:pPr>
    </w:p>
    <w:p>
      <w:pPr>
        <w:keepNext/>
        <w:spacing w:before="240" w:after="80"/>
        <w:jc w:val="left"/>
      </w:pPr>
      <w:r>
        <w:rPr>
          <w:rFonts w:ascii="Calibri" w:hAnsi="Calibri"/>
          <w:b/>
          <w:color w:val="143C64"/>
          <w:sz w:val="26"/>
        </w:rPr>
        <w:t>Reação sistêmica e emergência</w:t>
      </w:r>
    </w:p>
    <w:p>
      <w:pPr>
        <w:spacing w:after="120"/>
        <w:jc w:val="both"/>
      </w:pPr>
      <w:r>
        <w:rPr>
          <w:rFonts w:ascii="Calibri" w:hAnsi="Calibri"/>
          <w:b w:val="0"/>
          <w:i/>
          <w:color w:val="1A1A1A"/>
          <w:sz w:val="24"/>
        </w:rPr>
        <w:t>Derivado de POP-N5-10. Não substitui o POP de origem.</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864"/>
        <w:gridCol w:w="7208"/>
      </w:tblGrid>
      <w:tr>
        <w:trPr>
          <w:cantSplit/>
          <w:tblHeader/>
        </w:trPr>
        <w:tc>
          <w:tcPr>
            <w:tcW w:type="dxa" w:w="1864"/>
            <w:shd w:val="clear" w:color="auto" w:fill="143C64"/>
          </w:tcPr>
          <w:p>
            <w:pPr>
              <w:spacing w:after="0"/>
              <w:jc w:val="left"/>
            </w:pPr>
            <w:r/>
            <w:r>
              <w:rPr>
                <w:rFonts w:ascii="Calibri" w:hAnsi="Calibri"/>
                <w:b/>
                <w:color w:val="FFFFFF"/>
                <w:sz w:val="24"/>
              </w:rPr>
              <w:t>Passo</w:t>
            </w:r>
          </w:p>
        </w:tc>
        <w:tc>
          <w:tcPr>
            <w:tcW w:type="dxa" w:w="7208"/>
            <w:shd w:val="clear" w:color="auto" w:fill="143C64"/>
          </w:tcPr>
          <w:p>
            <w:pPr>
              <w:spacing w:after="0"/>
              <w:jc w:val="left"/>
            </w:pPr>
            <w:r/>
            <w:r>
              <w:rPr>
                <w:rFonts w:ascii="Calibri" w:hAnsi="Calibri"/>
                <w:b/>
                <w:color w:val="FFFFFF"/>
                <w:sz w:val="24"/>
              </w:rPr>
              <w:t>Ação</w:t>
            </w:r>
          </w:p>
        </w:tc>
      </w:tr>
      <w:tr>
        <w:trPr>
          <w:cantSplit/>
        </w:trPr>
        <w:tc>
          <w:tcPr>
            <w:tcW w:type="dxa" w:w="1864"/>
          </w:tcPr>
          <w:p>
            <w:pPr>
              <w:spacing w:after="0"/>
              <w:jc w:val="left"/>
            </w:pPr>
            <w:r/>
            <w:r>
              <w:rPr>
                <w:rFonts w:ascii="Calibri" w:hAnsi="Calibri"/>
                <w:b w:val="0"/>
                <w:color w:val="1A1A1A"/>
                <w:sz w:val="24"/>
              </w:rPr>
              <w:t>1</w:t>
            </w:r>
          </w:p>
        </w:tc>
        <w:tc>
          <w:tcPr>
            <w:tcW w:type="dxa" w:w="7208"/>
          </w:tcPr>
          <w:p>
            <w:pPr>
              <w:spacing w:after="0"/>
              <w:jc w:val="left"/>
            </w:pPr>
            <w:r/>
            <w:r>
              <w:rPr>
                <w:rFonts w:ascii="Calibri" w:hAnsi="Calibri"/>
                <w:b w:val="0"/>
                <w:color w:val="1A1A1A"/>
                <w:sz w:val="24"/>
              </w:rPr>
              <w:t>Interromper agora. Anotar o horário.</w:t>
            </w:r>
          </w:p>
        </w:tc>
      </w:tr>
      <w:tr>
        <w:trPr>
          <w:cantSplit/>
        </w:trPr>
        <w:tc>
          <w:tcPr>
            <w:tcW w:type="dxa" w:w="1864"/>
            <w:shd w:val="clear" w:color="auto" w:fill="F2F5F8"/>
          </w:tcPr>
          <w:p>
            <w:pPr>
              <w:spacing w:after="0"/>
              <w:jc w:val="left"/>
            </w:pPr>
            <w:r/>
            <w:r>
              <w:rPr>
                <w:rFonts w:ascii="Calibri" w:hAnsi="Calibri"/>
                <w:b w:val="0"/>
                <w:color w:val="1A1A1A"/>
                <w:sz w:val="24"/>
              </w:rPr>
              <w:t>2</w:t>
            </w:r>
          </w:p>
        </w:tc>
        <w:tc>
          <w:tcPr>
            <w:tcW w:type="dxa" w:w="7208"/>
            <w:shd w:val="clear" w:color="auto" w:fill="F2F5F8"/>
          </w:tcPr>
          <w:p>
            <w:pPr>
              <w:spacing w:after="0"/>
              <w:jc w:val="left"/>
            </w:pPr>
            <w:r/>
            <w:r>
              <w:rPr>
                <w:rFonts w:ascii="Calibri" w:hAnsi="Calibri"/>
                <w:b w:val="0"/>
                <w:color w:val="1A1A1A"/>
                <w:sz w:val="24"/>
              </w:rPr>
              <w:t>Acionar o serviço de emergência diante de dispneia, alteração de consciência, sinais de anafilaxia ou instabilidade.</w:t>
            </w:r>
          </w:p>
        </w:tc>
      </w:tr>
      <w:tr>
        <w:trPr>
          <w:cantSplit/>
        </w:trPr>
        <w:tc>
          <w:tcPr>
            <w:tcW w:type="dxa" w:w="1864"/>
          </w:tcPr>
          <w:p>
            <w:pPr>
              <w:spacing w:after="0"/>
              <w:jc w:val="left"/>
            </w:pPr>
            <w:r/>
            <w:r>
              <w:rPr>
                <w:rFonts w:ascii="Calibri" w:hAnsi="Calibri"/>
                <w:b w:val="0"/>
                <w:color w:val="1A1A1A"/>
                <w:sz w:val="24"/>
              </w:rPr>
              <w:t>3</w:t>
            </w:r>
          </w:p>
        </w:tc>
        <w:tc>
          <w:tcPr>
            <w:tcW w:type="dxa" w:w="7208"/>
          </w:tcPr>
          <w:p>
            <w:pPr>
              <w:spacing w:after="0"/>
              <w:jc w:val="left"/>
            </w:pPr>
            <w:r/>
            <w:r>
              <w:rPr>
                <w:rFonts w:ascii="Calibri" w:hAnsi="Calibri"/>
                <w:b w:val="0"/>
                <w:color w:val="1A1A1A"/>
                <w:sz w:val="24"/>
              </w:rPr>
              <w:t>Aplicar apenas as medidas de suporte compatíveis com a capacitação e com os recursos disponíveis. Designar alguém só para registrar horários.</w:t>
            </w:r>
          </w:p>
        </w:tc>
      </w:tr>
      <w:tr>
        <w:trPr>
          <w:cantSplit/>
        </w:trPr>
        <w:tc>
          <w:tcPr>
            <w:tcW w:type="dxa" w:w="1864"/>
            <w:shd w:val="clear" w:color="auto" w:fill="F2F5F8"/>
          </w:tcPr>
          <w:p>
            <w:pPr>
              <w:spacing w:after="0"/>
              <w:jc w:val="left"/>
            </w:pPr>
            <w:r/>
            <w:r>
              <w:rPr>
                <w:rFonts w:ascii="Calibri" w:hAnsi="Calibri"/>
                <w:b w:val="0"/>
                <w:color w:val="1A1A1A"/>
                <w:sz w:val="24"/>
              </w:rPr>
              <w:t>4</w:t>
            </w:r>
          </w:p>
        </w:tc>
        <w:tc>
          <w:tcPr>
            <w:tcW w:type="dxa" w:w="7208"/>
            <w:shd w:val="clear" w:color="auto" w:fill="F2F5F8"/>
          </w:tcPr>
          <w:p>
            <w:pPr>
              <w:spacing w:after="0"/>
              <w:jc w:val="left"/>
            </w:pPr>
            <w:r/>
            <w:r>
              <w:rPr>
                <w:rFonts w:ascii="Calibri" w:hAnsi="Calibri"/>
                <w:b w:val="0"/>
                <w:color w:val="1A1A1A"/>
                <w:sz w:val="24"/>
              </w:rPr>
              <w:t>Acompanhar até a chegada do socorro. Transmitir produto, lote, região, volume e horários.</w:t>
            </w:r>
          </w:p>
        </w:tc>
      </w:tr>
    </w:tbl>
    <w:p>
      <w:pPr>
        <w:spacing w:after="120"/>
      </w:pPr>
    </w:p>
    <w:p>
      <w:pPr>
        <w:keepNext/>
        <w:spacing w:before="240" w:after="80"/>
        <w:jc w:val="left"/>
      </w:pPr>
      <w:r>
        <w:rPr>
          <w:rFonts w:ascii="Calibri" w:hAnsi="Calibri"/>
          <w:b/>
          <w:color w:val="143C64"/>
          <w:sz w:val="26"/>
        </w:rPr>
        <w:t>Suspeita de infecção</w:t>
      </w:r>
    </w:p>
    <w:p>
      <w:pPr>
        <w:spacing w:after="120"/>
        <w:jc w:val="both"/>
      </w:pPr>
      <w:r>
        <w:rPr>
          <w:rFonts w:ascii="Calibri" w:hAnsi="Calibri"/>
          <w:b w:val="0"/>
          <w:i/>
          <w:color w:val="1A1A1A"/>
          <w:sz w:val="24"/>
        </w:rPr>
        <w:t>Derivado de POP-N5-08. Não substitui o POP de origem.</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922"/>
        <w:gridCol w:w="7150"/>
      </w:tblGrid>
      <w:tr>
        <w:trPr>
          <w:cantSplit/>
          <w:tblHeader/>
        </w:trPr>
        <w:tc>
          <w:tcPr>
            <w:tcW w:type="dxa" w:w="1922"/>
            <w:shd w:val="clear" w:color="auto" w:fill="143C64"/>
          </w:tcPr>
          <w:p>
            <w:pPr>
              <w:spacing w:after="0"/>
              <w:jc w:val="left"/>
            </w:pPr>
            <w:r/>
            <w:r>
              <w:rPr>
                <w:rFonts w:ascii="Calibri" w:hAnsi="Calibri"/>
                <w:b/>
                <w:color w:val="FFFFFF"/>
                <w:sz w:val="24"/>
              </w:rPr>
              <w:t>Passo</w:t>
            </w:r>
          </w:p>
        </w:tc>
        <w:tc>
          <w:tcPr>
            <w:tcW w:type="dxa" w:w="7150"/>
            <w:shd w:val="clear" w:color="auto" w:fill="143C64"/>
          </w:tcPr>
          <w:p>
            <w:pPr>
              <w:spacing w:after="0"/>
              <w:jc w:val="left"/>
            </w:pPr>
            <w:r/>
            <w:r>
              <w:rPr>
                <w:rFonts w:ascii="Calibri" w:hAnsi="Calibri"/>
                <w:b/>
                <w:color w:val="FFFFFF"/>
                <w:sz w:val="24"/>
              </w:rPr>
              <w:t>Ação</w:t>
            </w:r>
          </w:p>
        </w:tc>
      </w:tr>
      <w:tr>
        <w:trPr>
          <w:cantSplit/>
        </w:trPr>
        <w:tc>
          <w:tcPr>
            <w:tcW w:type="dxa" w:w="1922"/>
          </w:tcPr>
          <w:p>
            <w:pPr>
              <w:spacing w:after="0"/>
              <w:jc w:val="left"/>
            </w:pPr>
            <w:r/>
            <w:r>
              <w:rPr>
                <w:rFonts w:ascii="Calibri" w:hAnsi="Calibri"/>
                <w:b w:val="0"/>
                <w:color w:val="1A1A1A"/>
                <w:sz w:val="24"/>
              </w:rPr>
              <w:t>1</w:t>
            </w:r>
          </w:p>
        </w:tc>
        <w:tc>
          <w:tcPr>
            <w:tcW w:type="dxa" w:w="7150"/>
          </w:tcPr>
          <w:p>
            <w:pPr>
              <w:spacing w:after="0"/>
              <w:jc w:val="left"/>
            </w:pPr>
            <w:r/>
            <w:r>
              <w:rPr>
                <w:rFonts w:ascii="Calibri" w:hAnsi="Calibri"/>
                <w:b w:val="0"/>
                <w:color w:val="1A1A1A"/>
                <w:sz w:val="24"/>
              </w:rPr>
              <w:t>Avaliar eritema progressivo, calor, edema, dor persistente e secreção.</w:t>
            </w:r>
          </w:p>
        </w:tc>
      </w:tr>
      <w:tr>
        <w:trPr>
          <w:cantSplit/>
        </w:trPr>
        <w:tc>
          <w:tcPr>
            <w:tcW w:type="dxa" w:w="1922"/>
            <w:shd w:val="clear" w:color="auto" w:fill="F2F5F8"/>
          </w:tcPr>
          <w:p>
            <w:pPr>
              <w:spacing w:after="0"/>
              <w:jc w:val="left"/>
            </w:pPr>
            <w:r/>
            <w:r>
              <w:rPr>
                <w:rFonts w:ascii="Calibri" w:hAnsi="Calibri"/>
                <w:b w:val="0"/>
                <w:color w:val="1A1A1A"/>
                <w:sz w:val="24"/>
              </w:rPr>
              <w:t>2</w:t>
            </w:r>
          </w:p>
        </w:tc>
        <w:tc>
          <w:tcPr>
            <w:tcW w:type="dxa" w:w="7150"/>
            <w:shd w:val="clear" w:color="auto" w:fill="F2F5F8"/>
          </w:tcPr>
          <w:p>
            <w:pPr>
              <w:spacing w:after="0"/>
              <w:jc w:val="left"/>
            </w:pPr>
            <w:r/>
            <w:r>
              <w:rPr>
                <w:rFonts w:ascii="Calibri" w:hAnsi="Calibri"/>
                <w:b w:val="0"/>
                <w:color w:val="1A1A1A"/>
                <w:sz w:val="24"/>
              </w:rPr>
              <w:t>Verificar febre e qualquer sinal sistêmico. Havendo, encaminhar.</w:t>
            </w:r>
          </w:p>
        </w:tc>
      </w:tr>
      <w:tr>
        <w:trPr>
          <w:cantSplit/>
        </w:trPr>
        <w:tc>
          <w:tcPr>
            <w:tcW w:type="dxa" w:w="1922"/>
          </w:tcPr>
          <w:p>
            <w:pPr>
              <w:spacing w:after="0"/>
              <w:jc w:val="left"/>
            </w:pPr>
            <w:r/>
            <w:r>
              <w:rPr>
                <w:rFonts w:ascii="Calibri" w:hAnsi="Calibri"/>
                <w:b w:val="0"/>
                <w:color w:val="1A1A1A"/>
                <w:sz w:val="24"/>
              </w:rPr>
              <w:t>3</w:t>
            </w:r>
          </w:p>
        </w:tc>
        <w:tc>
          <w:tcPr>
            <w:tcW w:type="dxa" w:w="7150"/>
          </w:tcPr>
          <w:p>
            <w:pPr>
              <w:spacing w:after="0"/>
              <w:jc w:val="left"/>
            </w:pPr>
            <w:r/>
            <w:r>
              <w:rPr>
                <w:rFonts w:ascii="Calibri" w:hAnsi="Calibri"/>
                <w:b w:val="0"/>
                <w:color w:val="1A1A1A"/>
                <w:sz w:val="24"/>
              </w:rPr>
              <w:t>Documentar por escrito e por fotografia. Recuperar produto, lote, região e data de origem.</w:t>
            </w:r>
          </w:p>
        </w:tc>
      </w:tr>
      <w:tr>
        <w:trPr>
          <w:cantSplit/>
        </w:trPr>
        <w:tc>
          <w:tcPr>
            <w:tcW w:type="dxa" w:w="1922"/>
            <w:shd w:val="clear" w:color="auto" w:fill="F2F5F8"/>
          </w:tcPr>
          <w:p>
            <w:pPr>
              <w:spacing w:after="0"/>
              <w:jc w:val="left"/>
            </w:pPr>
            <w:r/>
            <w:r>
              <w:rPr>
                <w:rFonts w:ascii="Calibri" w:hAnsi="Calibri"/>
                <w:b w:val="0"/>
                <w:color w:val="1A1A1A"/>
                <w:sz w:val="24"/>
              </w:rPr>
              <w:t>4</w:t>
            </w:r>
          </w:p>
        </w:tc>
        <w:tc>
          <w:tcPr>
            <w:tcW w:type="dxa" w:w="7150"/>
            <w:shd w:val="clear" w:color="auto" w:fill="F2F5F8"/>
          </w:tcPr>
          <w:p>
            <w:pPr>
              <w:spacing w:after="0"/>
              <w:jc w:val="left"/>
            </w:pPr>
            <w:r/>
            <w:r>
              <w:rPr>
                <w:rFonts w:ascii="Calibri" w:hAnsi="Calibri"/>
                <w:b w:val="0"/>
                <w:color w:val="1A1A1A"/>
                <w:sz w:val="24"/>
              </w:rPr>
              <w:t>Definir conduta e marcar reavaliação com data. Não condicionar o retorno à piora.</w:t>
            </w:r>
          </w:p>
        </w:tc>
      </w:tr>
    </w:tbl>
    <w:p>
      <w:pPr>
        <w:spacing w:after="120"/>
      </w:pPr>
    </w:p>
    <w:p>
      <w:pPr>
        <w:keepNext/>
        <w:spacing w:before="240" w:after="80"/>
        <w:jc w:val="left"/>
      </w:pPr>
      <w:r>
        <w:rPr>
          <w:rFonts w:ascii="Calibri" w:hAnsi="Calibri"/>
          <w:b/>
          <w:color w:val="143C64"/>
          <w:sz w:val="26"/>
        </w:rPr>
        <w:t>Falha de equipamento durante o uso</w:t>
      </w:r>
    </w:p>
    <w:p>
      <w:pPr>
        <w:spacing w:after="120"/>
        <w:jc w:val="both"/>
      </w:pPr>
      <w:r>
        <w:rPr>
          <w:rFonts w:ascii="Calibri" w:hAnsi="Calibri"/>
          <w:b w:val="0"/>
          <w:i/>
          <w:color w:val="1A1A1A"/>
          <w:sz w:val="24"/>
        </w:rPr>
        <w:t>Derivado de POP-N5-14. Não substitui o POP de origem.</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922"/>
        <w:gridCol w:w="7150"/>
      </w:tblGrid>
      <w:tr>
        <w:trPr>
          <w:cantSplit/>
          <w:tblHeader/>
        </w:trPr>
        <w:tc>
          <w:tcPr>
            <w:tcW w:type="dxa" w:w="1922"/>
            <w:shd w:val="clear" w:color="auto" w:fill="143C64"/>
          </w:tcPr>
          <w:p>
            <w:pPr>
              <w:spacing w:after="0"/>
              <w:jc w:val="left"/>
            </w:pPr>
            <w:r/>
            <w:r>
              <w:rPr>
                <w:rFonts w:ascii="Calibri" w:hAnsi="Calibri"/>
                <w:b/>
                <w:color w:val="FFFFFF"/>
                <w:sz w:val="24"/>
              </w:rPr>
              <w:t>Passo</w:t>
            </w:r>
          </w:p>
        </w:tc>
        <w:tc>
          <w:tcPr>
            <w:tcW w:type="dxa" w:w="7150"/>
            <w:shd w:val="clear" w:color="auto" w:fill="143C64"/>
          </w:tcPr>
          <w:p>
            <w:pPr>
              <w:spacing w:after="0"/>
              <w:jc w:val="left"/>
            </w:pPr>
            <w:r/>
            <w:r>
              <w:rPr>
                <w:rFonts w:ascii="Calibri" w:hAnsi="Calibri"/>
                <w:b/>
                <w:color w:val="FFFFFF"/>
                <w:sz w:val="24"/>
              </w:rPr>
              <w:t>Ação</w:t>
            </w:r>
          </w:p>
        </w:tc>
      </w:tr>
      <w:tr>
        <w:trPr>
          <w:cantSplit/>
        </w:trPr>
        <w:tc>
          <w:tcPr>
            <w:tcW w:type="dxa" w:w="1922"/>
          </w:tcPr>
          <w:p>
            <w:pPr>
              <w:spacing w:after="0"/>
              <w:jc w:val="left"/>
            </w:pPr>
            <w:r/>
            <w:r>
              <w:rPr>
                <w:rFonts w:ascii="Calibri" w:hAnsi="Calibri"/>
                <w:b w:val="0"/>
                <w:color w:val="1A1A1A"/>
                <w:sz w:val="24"/>
              </w:rPr>
              <w:t>1</w:t>
            </w:r>
          </w:p>
        </w:tc>
        <w:tc>
          <w:tcPr>
            <w:tcW w:type="dxa" w:w="7150"/>
          </w:tcPr>
          <w:p>
            <w:pPr>
              <w:spacing w:after="0"/>
              <w:jc w:val="left"/>
            </w:pPr>
            <w:r/>
            <w:r>
              <w:rPr>
                <w:rFonts w:ascii="Calibri" w:hAnsi="Calibri"/>
                <w:b w:val="0"/>
                <w:color w:val="1A1A1A"/>
                <w:sz w:val="24"/>
              </w:rPr>
              <w:t>Interromper o uso e cuidar do paciente primeiro.</w:t>
            </w:r>
          </w:p>
        </w:tc>
      </w:tr>
      <w:tr>
        <w:trPr>
          <w:cantSplit/>
        </w:trPr>
        <w:tc>
          <w:tcPr>
            <w:tcW w:type="dxa" w:w="1922"/>
            <w:shd w:val="clear" w:color="auto" w:fill="F2F5F8"/>
          </w:tcPr>
          <w:p>
            <w:pPr>
              <w:spacing w:after="0"/>
              <w:jc w:val="left"/>
            </w:pPr>
            <w:r/>
            <w:r>
              <w:rPr>
                <w:rFonts w:ascii="Calibri" w:hAnsi="Calibri"/>
                <w:b w:val="0"/>
                <w:color w:val="1A1A1A"/>
                <w:sz w:val="24"/>
              </w:rPr>
              <w:t>2</w:t>
            </w:r>
          </w:p>
        </w:tc>
        <w:tc>
          <w:tcPr>
            <w:tcW w:type="dxa" w:w="7150"/>
            <w:shd w:val="clear" w:color="auto" w:fill="F2F5F8"/>
          </w:tcPr>
          <w:p>
            <w:pPr>
              <w:spacing w:after="0"/>
              <w:jc w:val="left"/>
            </w:pPr>
            <w:r/>
            <w:r>
              <w:rPr>
                <w:rFonts w:ascii="Calibri" w:hAnsi="Calibri"/>
                <w:b w:val="0"/>
                <w:color w:val="1A1A1A"/>
                <w:sz w:val="24"/>
              </w:rPr>
              <w:t>Segregar e identificar o equipamento. Preservar as evidências.</w:t>
            </w:r>
          </w:p>
        </w:tc>
      </w:tr>
      <w:tr>
        <w:trPr>
          <w:cantSplit/>
        </w:trPr>
        <w:tc>
          <w:tcPr>
            <w:tcW w:type="dxa" w:w="1922"/>
          </w:tcPr>
          <w:p>
            <w:pPr>
              <w:spacing w:after="0"/>
              <w:jc w:val="left"/>
            </w:pPr>
            <w:r/>
            <w:r>
              <w:rPr>
                <w:rFonts w:ascii="Calibri" w:hAnsi="Calibri"/>
                <w:b w:val="0"/>
                <w:color w:val="1A1A1A"/>
                <w:sz w:val="24"/>
              </w:rPr>
              <w:t>3</w:t>
            </w:r>
          </w:p>
        </w:tc>
        <w:tc>
          <w:tcPr>
            <w:tcW w:type="dxa" w:w="7150"/>
          </w:tcPr>
          <w:p>
            <w:pPr>
              <w:spacing w:after="0"/>
              <w:jc w:val="left"/>
            </w:pPr>
            <w:r/>
            <w:r>
              <w:rPr>
                <w:rFonts w:ascii="Calibri" w:hAnsi="Calibri"/>
                <w:b w:val="0"/>
                <w:color w:val="1A1A1A"/>
                <w:sz w:val="24"/>
              </w:rPr>
              <w:t>Registrar parâmetros, número de série, consumíveis e sequência de horários.</w:t>
            </w:r>
          </w:p>
        </w:tc>
      </w:tr>
      <w:tr>
        <w:trPr>
          <w:cantSplit/>
        </w:trPr>
        <w:tc>
          <w:tcPr>
            <w:tcW w:type="dxa" w:w="1922"/>
            <w:shd w:val="clear" w:color="auto" w:fill="F2F5F8"/>
          </w:tcPr>
          <w:p>
            <w:pPr>
              <w:spacing w:after="0"/>
              <w:jc w:val="left"/>
            </w:pPr>
            <w:r/>
            <w:r>
              <w:rPr>
                <w:rFonts w:ascii="Calibri" w:hAnsi="Calibri"/>
                <w:b w:val="0"/>
                <w:color w:val="1A1A1A"/>
                <w:sz w:val="24"/>
              </w:rPr>
              <w:t>4</w:t>
            </w:r>
          </w:p>
        </w:tc>
        <w:tc>
          <w:tcPr>
            <w:tcW w:type="dxa" w:w="7150"/>
            <w:shd w:val="clear" w:color="auto" w:fill="F2F5F8"/>
          </w:tcPr>
          <w:p>
            <w:pPr>
              <w:spacing w:after="0"/>
              <w:jc w:val="left"/>
            </w:pPr>
            <w:r/>
            <w:r>
              <w:rPr>
                <w:rFonts w:ascii="Calibri" w:hAnsi="Calibri"/>
                <w:b w:val="0"/>
                <w:color w:val="1A1A1A"/>
                <w:sz w:val="24"/>
              </w:rPr>
              <w:t>Avaliar assistência técnica, notificação e comunicação ao fabricante antes de retomar.</w:t>
            </w:r>
          </w:p>
        </w:tc>
      </w:tr>
    </w:tbl>
    <w:p>
      <w:pPr>
        <w:spacing w:after="120"/>
      </w:pPr>
    </w:p>
    <w:p>
      <w:pPr>
        <w:keepNext/>
        <w:spacing w:before="240" w:after="80"/>
        <w:jc w:val="left"/>
      </w:pPr>
      <w:r>
        <w:rPr>
          <w:rFonts w:ascii="Calibri" w:hAnsi="Calibri"/>
          <w:b/>
          <w:color w:val="143C64"/>
          <w:sz w:val="26"/>
        </w:rPr>
        <w:t>Pausa de segurança</w:t>
      </w:r>
    </w:p>
    <w:p>
      <w:pPr>
        <w:spacing w:after="120"/>
        <w:jc w:val="both"/>
      </w:pPr>
      <w:r>
        <w:rPr>
          <w:rFonts w:ascii="Calibri" w:hAnsi="Calibri"/>
          <w:b w:val="0"/>
          <w:i/>
          <w:color w:val="1A1A1A"/>
          <w:sz w:val="24"/>
        </w:rPr>
        <w:t>Derivado de Antes de qualquer procedimento. Não substitui o POP de origem.</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864"/>
        <w:gridCol w:w="7208"/>
      </w:tblGrid>
      <w:tr>
        <w:trPr>
          <w:cantSplit/>
          <w:tblHeader/>
        </w:trPr>
        <w:tc>
          <w:tcPr>
            <w:tcW w:type="dxa" w:w="1864"/>
            <w:shd w:val="clear" w:color="auto" w:fill="143C64"/>
          </w:tcPr>
          <w:p>
            <w:pPr>
              <w:spacing w:after="0"/>
              <w:jc w:val="left"/>
            </w:pPr>
            <w:r/>
            <w:r>
              <w:rPr>
                <w:rFonts w:ascii="Calibri" w:hAnsi="Calibri"/>
                <w:b/>
                <w:color w:val="FFFFFF"/>
                <w:sz w:val="24"/>
              </w:rPr>
              <w:t>Passo</w:t>
            </w:r>
          </w:p>
        </w:tc>
        <w:tc>
          <w:tcPr>
            <w:tcW w:type="dxa" w:w="7208"/>
            <w:shd w:val="clear" w:color="auto" w:fill="143C64"/>
          </w:tcPr>
          <w:p>
            <w:pPr>
              <w:spacing w:after="0"/>
              <w:jc w:val="left"/>
            </w:pPr>
            <w:r/>
            <w:r>
              <w:rPr>
                <w:rFonts w:ascii="Calibri" w:hAnsi="Calibri"/>
                <w:b/>
                <w:color w:val="FFFFFF"/>
                <w:sz w:val="24"/>
              </w:rPr>
              <w:t>Ação</w:t>
            </w:r>
          </w:p>
        </w:tc>
      </w:tr>
      <w:tr>
        <w:trPr>
          <w:cantSplit/>
        </w:trPr>
        <w:tc>
          <w:tcPr>
            <w:tcW w:type="dxa" w:w="1864"/>
          </w:tcPr>
          <w:p>
            <w:pPr>
              <w:spacing w:after="0"/>
              <w:jc w:val="left"/>
            </w:pPr>
            <w:r/>
            <w:r>
              <w:rPr>
                <w:rFonts w:ascii="Calibri" w:hAnsi="Calibri"/>
                <w:b w:val="0"/>
                <w:color w:val="1A1A1A"/>
                <w:sz w:val="24"/>
              </w:rPr>
              <w:t>1</w:t>
            </w:r>
          </w:p>
        </w:tc>
        <w:tc>
          <w:tcPr>
            <w:tcW w:type="dxa" w:w="7208"/>
          </w:tcPr>
          <w:p>
            <w:pPr>
              <w:spacing w:after="0"/>
              <w:jc w:val="left"/>
            </w:pPr>
            <w:r/>
            <w:r>
              <w:rPr>
                <w:rFonts w:ascii="Calibri" w:hAnsi="Calibri"/>
                <w:b w:val="0"/>
                <w:color w:val="1A1A1A"/>
                <w:sz w:val="24"/>
              </w:rPr>
              <w:t>Confirmar em voz alta: paciente, procedimento, região e lado.</w:t>
            </w:r>
          </w:p>
        </w:tc>
      </w:tr>
      <w:tr>
        <w:trPr>
          <w:cantSplit/>
        </w:trPr>
        <w:tc>
          <w:tcPr>
            <w:tcW w:type="dxa" w:w="1864"/>
            <w:shd w:val="clear" w:color="auto" w:fill="F2F5F8"/>
          </w:tcPr>
          <w:p>
            <w:pPr>
              <w:spacing w:after="0"/>
              <w:jc w:val="left"/>
            </w:pPr>
            <w:r/>
            <w:r>
              <w:rPr>
                <w:rFonts w:ascii="Calibri" w:hAnsi="Calibri"/>
                <w:b w:val="0"/>
                <w:color w:val="1A1A1A"/>
                <w:sz w:val="24"/>
              </w:rPr>
              <w:t>2</w:t>
            </w:r>
          </w:p>
        </w:tc>
        <w:tc>
          <w:tcPr>
            <w:tcW w:type="dxa" w:w="7208"/>
            <w:shd w:val="clear" w:color="auto" w:fill="F2F5F8"/>
          </w:tcPr>
          <w:p>
            <w:pPr>
              <w:spacing w:after="0"/>
              <w:jc w:val="left"/>
            </w:pPr>
            <w:r/>
            <w:r>
              <w:rPr>
                <w:rFonts w:ascii="Calibri" w:hAnsi="Calibri"/>
                <w:b w:val="0"/>
                <w:color w:val="1A1A1A"/>
                <w:sz w:val="24"/>
              </w:rPr>
              <w:t>Conferir produto, lote, validade e parâmetros.</w:t>
            </w:r>
          </w:p>
        </w:tc>
      </w:tr>
      <w:tr>
        <w:trPr>
          <w:cantSplit/>
        </w:trPr>
        <w:tc>
          <w:tcPr>
            <w:tcW w:type="dxa" w:w="1864"/>
          </w:tcPr>
          <w:p>
            <w:pPr>
              <w:spacing w:after="0"/>
              <w:jc w:val="left"/>
            </w:pPr>
            <w:r/>
            <w:r>
              <w:rPr>
                <w:rFonts w:ascii="Calibri" w:hAnsi="Calibri"/>
                <w:b w:val="0"/>
                <w:color w:val="1A1A1A"/>
                <w:sz w:val="24"/>
              </w:rPr>
              <w:t>3</w:t>
            </w:r>
          </w:p>
        </w:tc>
        <w:tc>
          <w:tcPr>
            <w:tcW w:type="dxa" w:w="7208"/>
          </w:tcPr>
          <w:p>
            <w:pPr>
              <w:spacing w:after="0"/>
              <w:jc w:val="left"/>
            </w:pPr>
            <w:r/>
            <w:r>
              <w:rPr>
                <w:rFonts w:ascii="Calibri" w:hAnsi="Calibri"/>
                <w:b w:val="0"/>
                <w:color w:val="1A1A1A"/>
                <w:sz w:val="24"/>
              </w:rPr>
              <w:t>Confirmar que os recursos de intercorrência estão disponíveis e válidos.</w:t>
            </w:r>
          </w:p>
        </w:tc>
      </w:tr>
      <w:tr>
        <w:trPr>
          <w:cantSplit/>
        </w:trPr>
        <w:tc>
          <w:tcPr>
            <w:tcW w:type="dxa" w:w="1864"/>
            <w:shd w:val="clear" w:color="auto" w:fill="F2F5F8"/>
          </w:tcPr>
          <w:p>
            <w:pPr>
              <w:spacing w:after="0"/>
              <w:jc w:val="left"/>
            </w:pPr>
            <w:r/>
            <w:r>
              <w:rPr>
                <w:rFonts w:ascii="Calibri" w:hAnsi="Calibri"/>
                <w:b w:val="0"/>
                <w:color w:val="1A1A1A"/>
                <w:sz w:val="24"/>
              </w:rPr>
              <w:t>4</w:t>
            </w:r>
          </w:p>
        </w:tc>
        <w:tc>
          <w:tcPr>
            <w:tcW w:type="dxa" w:w="7208"/>
            <w:shd w:val="clear" w:color="auto" w:fill="F2F5F8"/>
          </w:tcPr>
          <w:p>
            <w:pPr>
              <w:spacing w:after="0"/>
              <w:jc w:val="left"/>
            </w:pPr>
            <w:r/>
            <w:r>
              <w:rPr>
                <w:rFonts w:ascii="Calibri" w:hAnsi="Calibri"/>
                <w:b w:val="0"/>
                <w:color w:val="1A1A1A"/>
                <w:sz w:val="24"/>
              </w:rPr>
              <w:t>Confirmar que a rota de urgência, inclusive oftalmológica e neurológica, está acessível.</w:t>
            </w:r>
          </w:p>
        </w:tc>
      </w:tr>
    </w:tbl>
    <w:p>
      <w:pPr>
        <w:spacing w:after="120"/>
      </w:pP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N5-CART-01 · Cartões de Consulta Rápida · versão 1.0 · derivado dos POPs aprovados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N5-CART-01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