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RELATÓRIO DE CONFERÊNCIA DO CONJUNTO</w:t>
      </w:r>
    </w:p>
    <w:p>
      <w:pPr>
        <w:spacing w:after="160"/>
        <w:jc w:val="center"/>
      </w:pPr>
      <w:r>
        <w:rPr>
          <w:rFonts w:ascii="Calibri" w:hAnsi="Calibri"/>
          <w:b/>
          <w:color w:val="143C64"/>
          <w:sz w:val="48"/>
        </w:rPr>
        <w:t>Relatório de Auditoria Técnica</w:t>
      </w:r>
    </w:p>
    <w:p>
      <w:pPr>
        <w:spacing w:after="720"/>
        <w:jc w:val="center"/>
      </w:pPr>
      <w:r>
        <w:rPr>
          <w:rFonts w:ascii="Calibri" w:hAnsi="Calibri"/>
          <w:b w:val="0"/>
          <w:i w:val="0"/>
          <w:color w:val="444A52"/>
          <w:sz w:val="26"/>
        </w:rPr>
        <w:t>Conferência cruzada de conteúdo, evidências, normas, governança, coerência interna e padrão editorial do pacote do ciclo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N5-AUD-01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2.1</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Concluído. Subsidia a validação institucional</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Escopo e natureza da auditoria</w:t>
      </w:r>
    </w:p>
    <w:p>
      <w:pPr>
        <w:spacing w:after="120"/>
        <w:jc w:val="both"/>
      </w:pPr>
      <w:r>
        <w:rPr>
          <w:rFonts w:ascii="Calibri" w:hAnsi="Calibri"/>
          <w:b w:val="0"/>
          <w:i w:val="0"/>
          <w:color w:val="1A1A1A"/>
          <w:sz w:val="24"/>
        </w:rPr>
        <w:t>Esta auditoria examinou os documentos do pacote como sistema documental integrado, e não peça por peça de forma isolada. Foram conferidos: coerência entre documentos, consistência de nomes e atribuições, atualização normativa federal, rastreabilidade das afirmações clínicas, proporcionalidade entre força da recomendação e qualidade da evidência, limites institucionais, ausência de promoção comercial, existência de mecanismos de revisão e versionamento, e conformidade ao padrão editorial.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Declaração de limite da própria auditoria</w:t>
            </w:r>
          </w:p>
          <w:p>
            <w:pPr>
              <w:spacing w:after="0"/>
              <w:jc w:val="both"/>
            </w:pPr>
            <w:r>
              <w:rPr>
                <w:rFonts w:ascii="Calibri" w:hAnsi="Calibri"/>
                <w:color w:val="1A1A1A"/>
                <w:sz w:val="24"/>
              </w:rPr>
              <w:t>Esta conferência é interna ao Núcleo e realizada sobre a produção do próprio Núcleo. Não é auditoria independente no sentido técnico do termo, e não substitui revisão jurídica, parecer da Diretoria Executiva nem deliberação do colegiado. Registrar essa limitação é condição para que o relatório tenha valor: um parecer que aprova tudo o que o próprio autor produziu, sem declarar a origem, vale pouco.</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Resultado executivo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Parecer técnico</w:t>
            </w:r>
          </w:p>
          <w:p>
            <w:pPr>
              <w:spacing w:after="0"/>
              <w:jc w:val="both"/>
            </w:pPr>
            <w:r>
              <w:rPr>
                <w:rFonts w:ascii="Calibri" w:hAnsi="Calibri"/>
                <w:color w:val="1A1A1A"/>
                <w:sz w:val="24"/>
              </w:rPr>
              <w:t>O pacote está tecnicamente consolidado e apto a seguir para validação institucional. Não foram identificados motivos para reconstrução da arquitetura. As limitações remanescentes são de competência institucional: deliberação colegiada, validação da Diretoria Executiva, eventual revisão jurídica e confirmação de exigências sanitárias locais quando aplicáveis.</w:t>
            </w:r>
          </w:p>
        </w:tc>
      </w:tr>
    </w:tbl>
    <w:p>
      <w:pPr>
        <w:spacing w:after="80"/>
      </w:pPr>
    </w:p>
    <w:p>
      <w:pPr>
        <w:keepNext/>
        <w:spacing w:before="360" w:after="160"/>
        <w:jc w:val="left"/>
        <w:pBdr>
          <w:bottom w:val="single" w:sz="8" w:space="4" w:color="143C64"/>
        </w:pBdr>
      </w:pPr>
      <w:r>
        <w:rPr>
          <w:rFonts w:ascii="Calibri" w:hAnsi="Calibri"/>
          <w:b/>
          <w:color w:val="143C64"/>
          <w:sz w:val="30"/>
        </w:rPr>
        <w:t>3  Correções incorporadas nesta versão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44"/>
        <w:gridCol w:w="3422"/>
        <w:gridCol w:w="2806"/>
      </w:tblGrid>
      <w:tr>
        <w:trPr>
          <w:cantSplit/>
          <w:tblHeader/>
        </w:trPr>
        <w:tc>
          <w:tcPr>
            <w:tcW w:type="dxa" w:w="2844"/>
            <w:shd w:val="clear" w:color="auto" w:fill="143C64"/>
          </w:tcPr>
          <w:p>
            <w:pPr>
              <w:spacing w:after="0"/>
              <w:jc w:val="left"/>
            </w:pPr>
            <w:r/>
            <w:r>
              <w:rPr>
                <w:rFonts w:ascii="Calibri" w:hAnsi="Calibri"/>
                <w:b/>
                <w:color w:val="FFFFFF"/>
                <w:sz w:val="24"/>
              </w:rPr>
              <w:t>Item</w:t>
            </w:r>
          </w:p>
        </w:tc>
        <w:tc>
          <w:tcPr>
            <w:tcW w:type="dxa" w:w="3422"/>
            <w:shd w:val="clear" w:color="auto" w:fill="143C64"/>
          </w:tcPr>
          <w:p>
            <w:pPr>
              <w:spacing w:after="0"/>
              <w:jc w:val="left"/>
            </w:pPr>
            <w:r/>
            <w:r>
              <w:rPr>
                <w:rFonts w:ascii="Calibri" w:hAnsi="Calibri"/>
                <w:b/>
                <w:color w:val="FFFFFF"/>
                <w:sz w:val="24"/>
              </w:rPr>
              <w:t>Correção aplicada</w:t>
            </w:r>
          </w:p>
        </w:tc>
        <w:tc>
          <w:tcPr>
            <w:tcW w:type="dxa" w:w="2806"/>
            <w:shd w:val="clear" w:color="auto" w:fill="143C64"/>
          </w:tcPr>
          <w:p>
            <w:pPr>
              <w:spacing w:after="0"/>
              <w:jc w:val="left"/>
            </w:pPr>
            <w:r/>
            <w:r>
              <w:rPr>
                <w:rFonts w:ascii="Calibri" w:hAnsi="Calibri"/>
                <w:b/>
                <w:color w:val="FFFFFF"/>
                <w:sz w:val="24"/>
              </w:rPr>
              <w:t>Efeito</w:t>
            </w:r>
          </w:p>
        </w:tc>
      </w:tr>
      <w:tr>
        <w:trPr>
          <w:cantSplit/>
        </w:trPr>
        <w:tc>
          <w:tcPr>
            <w:tcW w:type="dxa" w:w="2844"/>
          </w:tcPr>
          <w:p>
            <w:pPr>
              <w:spacing w:after="0"/>
              <w:jc w:val="left"/>
            </w:pPr>
            <w:r/>
            <w:r>
              <w:rPr>
                <w:rFonts w:ascii="Calibri" w:hAnsi="Calibri"/>
                <w:b w:val="0"/>
                <w:color w:val="1A1A1A"/>
                <w:sz w:val="24"/>
              </w:rPr>
              <w:t>Base sanitária</w:t>
            </w:r>
          </w:p>
        </w:tc>
        <w:tc>
          <w:tcPr>
            <w:tcW w:type="dxa" w:w="3422"/>
          </w:tcPr>
          <w:p>
            <w:pPr>
              <w:spacing w:after="0"/>
              <w:jc w:val="left"/>
            </w:pPr>
            <w:r/>
            <w:r>
              <w:rPr>
                <w:rFonts w:ascii="Calibri" w:hAnsi="Calibri"/>
                <w:b w:val="0"/>
                <w:color w:val="1A1A1A"/>
                <w:sz w:val="24"/>
              </w:rPr>
              <w:t>Atualização pela RDC Anvisa nº 1.002/2025, com distinção entre manutenção, calibração, ajuste, ensaios e certificação.</w:t>
            </w:r>
          </w:p>
        </w:tc>
        <w:tc>
          <w:tcPr>
            <w:tcW w:type="dxa" w:w="2806"/>
          </w:tcPr>
          <w:p>
            <w:pPr>
              <w:spacing w:after="0"/>
              <w:jc w:val="left"/>
            </w:pPr>
            <w:r/>
            <w:r>
              <w:rPr>
                <w:rFonts w:ascii="Calibri" w:hAnsi="Calibri"/>
                <w:b w:val="0"/>
                <w:color w:val="1A1A1A"/>
                <w:sz w:val="24"/>
              </w:rPr>
              <w:t>O pacote passa a ter fundamento sanitário direto para a exigência de POP.</w:t>
            </w:r>
          </w:p>
        </w:tc>
      </w:tr>
      <w:tr>
        <w:trPr>
          <w:cantSplit/>
        </w:trPr>
        <w:tc>
          <w:tcPr>
            <w:tcW w:type="dxa" w:w="2844"/>
            <w:shd w:val="clear" w:color="auto" w:fill="F2F5F8"/>
          </w:tcPr>
          <w:p>
            <w:pPr>
              <w:spacing w:after="0"/>
              <w:jc w:val="left"/>
            </w:pPr>
            <w:r/>
            <w:r>
              <w:rPr>
                <w:rFonts w:ascii="Calibri" w:hAnsi="Calibri"/>
                <w:b w:val="0"/>
                <w:color w:val="1A1A1A"/>
                <w:sz w:val="24"/>
              </w:rPr>
              <w:t>Periodicidade de calibração</w:t>
            </w:r>
          </w:p>
        </w:tc>
        <w:tc>
          <w:tcPr>
            <w:tcW w:type="dxa" w:w="3422"/>
            <w:shd w:val="clear" w:color="auto" w:fill="F2F5F8"/>
          </w:tcPr>
          <w:p>
            <w:pPr>
              <w:spacing w:after="0"/>
              <w:jc w:val="left"/>
            </w:pPr>
            <w:r/>
            <w:r>
              <w:rPr>
                <w:rFonts w:ascii="Calibri" w:hAnsi="Calibri"/>
                <w:b w:val="0"/>
                <w:color w:val="1A1A1A"/>
                <w:sz w:val="24"/>
              </w:rPr>
              <w:t>Eliminação de periodicidade universal não sustentada. A frequência segue legislação específica e instrução do fabricante.</w:t>
            </w:r>
          </w:p>
        </w:tc>
        <w:tc>
          <w:tcPr>
            <w:tcW w:type="dxa" w:w="2806"/>
            <w:shd w:val="clear" w:color="auto" w:fill="F2F5F8"/>
          </w:tcPr>
          <w:p>
            <w:pPr>
              <w:spacing w:after="0"/>
              <w:jc w:val="left"/>
            </w:pPr>
            <w:r/>
            <w:r>
              <w:rPr>
                <w:rFonts w:ascii="Calibri" w:hAnsi="Calibri"/>
                <w:b w:val="0"/>
                <w:color w:val="1A1A1A"/>
                <w:sz w:val="24"/>
              </w:rPr>
              <w:t>Remove afirmação categórica sem base normativa.</w:t>
            </w:r>
          </w:p>
        </w:tc>
      </w:tr>
      <w:tr>
        <w:trPr>
          <w:cantSplit/>
        </w:trPr>
        <w:tc>
          <w:tcPr>
            <w:tcW w:type="dxa" w:w="2844"/>
          </w:tcPr>
          <w:p>
            <w:pPr>
              <w:spacing w:after="0"/>
              <w:jc w:val="left"/>
            </w:pPr>
            <w:r/>
            <w:r>
              <w:rPr>
                <w:rFonts w:ascii="Calibri" w:hAnsi="Calibri"/>
                <w:b w:val="0"/>
                <w:color w:val="1A1A1A"/>
                <w:sz w:val="24"/>
              </w:rPr>
              <w:t>Estatuto dos Direitos do Paciente</w:t>
            </w:r>
          </w:p>
        </w:tc>
        <w:tc>
          <w:tcPr>
            <w:tcW w:type="dxa" w:w="3422"/>
          </w:tcPr>
          <w:p>
            <w:pPr>
              <w:spacing w:after="0"/>
              <w:jc w:val="left"/>
            </w:pPr>
            <w:r/>
            <w:r>
              <w:rPr>
                <w:rFonts w:ascii="Calibri" w:hAnsi="Calibri"/>
                <w:b w:val="0"/>
                <w:color w:val="1A1A1A"/>
                <w:sz w:val="24"/>
              </w:rPr>
              <w:t>Inclusão da Lei nº 15.378, de 6 de abril de 2026, na base normativa, com número e data.</w:t>
            </w:r>
          </w:p>
        </w:tc>
        <w:tc>
          <w:tcPr>
            <w:tcW w:type="dxa" w:w="2806"/>
          </w:tcPr>
          <w:p>
            <w:pPr>
              <w:spacing w:after="0"/>
              <w:jc w:val="left"/>
            </w:pPr>
            <w:r/>
            <w:r>
              <w:rPr>
                <w:rFonts w:ascii="Calibri" w:hAnsi="Calibri"/>
                <w:b w:val="0"/>
                <w:color w:val="1A1A1A"/>
                <w:sz w:val="24"/>
              </w:rPr>
              <w:t>Informação, autonomia, consentimento e acesso ao prontuário passam a ter âncora legal expressa, e não apenas ética.</w:t>
            </w:r>
          </w:p>
        </w:tc>
      </w:tr>
      <w:tr>
        <w:trPr>
          <w:cantSplit/>
        </w:trPr>
        <w:tc>
          <w:tcPr>
            <w:tcW w:type="dxa" w:w="2844"/>
            <w:shd w:val="clear" w:color="auto" w:fill="F2F5F8"/>
          </w:tcPr>
          <w:p>
            <w:pPr>
              <w:spacing w:after="0"/>
              <w:jc w:val="left"/>
            </w:pPr>
            <w:r/>
            <w:r>
              <w:rPr>
                <w:rFonts w:ascii="Calibri" w:hAnsi="Calibri"/>
                <w:b w:val="0"/>
                <w:color w:val="1A1A1A"/>
                <w:sz w:val="24"/>
              </w:rPr>
              <w:t>Situação contenciosa da especialidade</w:t>
            </w:r>
          </w:p>
        </w:tc>
        <w:tc>
          <w:tcPr>
            <w:tcW w:type="dxa" w:w="3422"/>
            <w:shd w:val="clear" w:color="auto" w:fill="F2F5F8"/>
          </w:tcPr>
          <w:p>
            <w:pPr>
              <w:spacing w:after="0"/>
              <w:jc w:val="left"/>
            </w:pPr>
            <w:r/>
            <w:r>
              <w:rPr>
                <w:rFonts w:ascii="Calibri" w:hAnsi="Calibri"/>
                <w:b w:val="0"/>
                <w:color w:val="1A1A1A"/>
                <w:sz w:val="24"/>
              </w:rPr>
              <w:t>Registro da decisão do TRF-1 de 19 de agosto de 2026 com número de processo e estado processual.</w:t>
            </w:r>
          </w:p>
        </w:tc>
        <w:tc>
          <w:tcPr>
            <w:tcW w:type="dxa" w:w="2806"/>
            <w:shd w:val="clear" w:color="auto" w:fill="F2F5F8"/>
          </w:tcPr>
          <w:p>
            <w:pPr>
              <w:spacing w:after="0"/>
              <w:jc w:val="left"/>
            </w:pPr>
            <w:r/>
            <w:r>
              <w:rPr>
                <w:rFonts w:ascii="Calibri" w:hAnsi="Calibri"/>
                <w:b w:val="0"/>
                <w:color w:val="1A1A1A"/>
                <w:sz w:val="24"/>
              </w:rPr>
              <w:t>Atualidade preservada sem que o Núcleo se pronuncie sobre o mérito.</w:t>
            </w:r>
          </w:p>
        </w:tc>
      </w:tr>
      <w:tr>
        <w:trPr>
          <w:cantSplit/>
        </w:trPr>
        <w:tc>
          <w:tcPr>
            <w:tcW w:type="dxa" w:w="2844"/>
          </w:tcPr>
          <w:p>
            <w:pPr>
              <w:spacing w:after="0"/>
              <w:jc w:val="left"/>
            </w:pPr>
            <w:r/>
            <w:r>
              <w:rPr>
                <w:rFonts w:ascii="Calibri" w:hAnsi="Calibri"/>
                <w:b w:val="0"/>
                <w:color w:val="1A1A1A"/>
                <w:sz w:val="24"/>
              </w:rPr>
              <w:t>Situação contenciosa conexa</w:t>
            </w:r>
          </w:p>
        </w:tc>
        <w:tc>
          <w:tcPr>
            <w:tcW w:type="dxa" w:w="3422"/>
          </w:tcPr>
          <w:p>
            <w:pPr>
              <w:spacing w:after="0"/>
              <w:jc w:val="left"/>
            </w:pPr>
            <w:r/>
            <w:r>
              <w:rPr>
                <w:rFonts w:ascii="Calibri" w:hAnsi="Calibri"/>
                <w:b w:val="0"/>
                <w:color w:val="1A1A1A"/>
                <w:sz w:val="24"/>
              </w:rPr>
              <w:t>Correção da data da liminar sobre a Resolução CFO nº 295/2026, de 24 para 6 de agosto de 2026, com inclusão do número da ação civil pública.</w:t>
            </w:r>
          </w:p>
        </w:tc>
        <w:tc>
          <w:tcPr>
            <w:tcW w:type="dxa" w:w="2806"/>
          </w:tcPr>
          <w:p>
            <w:pPr>
              <w:spacing w:after="0"/>
              <w:jc w:val="left"/>
            </w:pPr>
            <w:r/>
            <w:r>
              <w:rPr>
                <w:rFonts w:ascii="Calibri" w:hAnsi="Calibri"/>
                <w:b w:val="0"/>
                <w:color w:val="1A1A1A"/>
                <w:sz w:val="24"/>
              </w:rPr>
              <w:t>Corrige erro factual de data que fragilizaria o documento em leitura crítica.</w:t>
            </w:r>
          </w:p>
        </w:tc>
      </w:tr>
      <w:tr>
        <w:trPr>
          <w:cantSplit/>
        </w:trPr>
        <w:tc>
          <w:tcPr>
            <w:tcW w:type="dxa" w:w="2844"/>
            <w:shd w:val="clear" w:color="auto" w:fill="F2F5F8"/>
          </w:tcPr>
          <w:p>
            <w:pPr>
              <w:spacing w:after="0"/>
              <w:jc w:val="left"/>
            </w:pPr>
            <w:r/>
            <w:r>
              <w:rPr>
                <w:rFonts w:ascii="Calibri" w:hAnsi="Calibri"/>
                <w:b w:val="0"/>
                <w:color w:val="1A1A1A"/>
                <w:sz w:val="24"/>
              </w:rPr>
              <w:t>Ultrassonografia</w:t>
            </w:r>
          </w:p>
        </w:tc>
        <w:tc>
          <w:tcPr>
            <w:tcW w:type="dxa" w:w="3422"/>
            <w:shd w:val="clear" w:color="auto" w:fill="F2F5F8"/>
          </w:tcPr>
          <w:p>
            <w:pPr>
              <w:spacing w:after="0"/>
              <w:jc w:val="left"/>
            </w:pPr>
            <w:r/>
            <w:r>
              <w:rPr>
                <w:rFonts w:ascii="Calibri" w:hAnsi="Calibri"/>
                <w:b w:val="0"/>
                <w:color w:val="1A1A1A"/>
                <w:sz w:val="24"/>
              </w:rPr>
              <w:t>Mantida como recurso de elevado valor em aplicações específicas. Vedada a classificação universal como padrão-ouro.</w:t>
            </w:r>
          </w:p>
        </w:tc>
        <w:tc>
          <w:tcPr>
            <w:tcW w:type="dxa" w:w="2806"/>
            <w:shd w:val="clear" w:color="auto" w:fill="F2F5F8"/>
          </w:tcPr>
          <w:p>
            <w:pPr>
              <w:spacing w:after="0"/>
              <w:jc w:val="left"/>
            </w:pPr>
            <w:r/>
            <w:r>
              <w:rPr>
                <w:rFonts w:ascii="Calibri" w:hAnsi="Calibri"/>
                <w:b w:val="0"/>
                <w:color w:val="1A1A1A"/>
                <w:sz w:val="24"/>
              </w:rPr>
              <w:t>Evita efeito normativo indevido.</w:t>
            </w:r>
          </w:p>
        </w:tc>
      </w:tr>
      <w:tr>
        <w:trPr>
          <w:cantSplit/>
        </w:trPr>
        <w:tc>
          <w:tcPr>
            <w:tcW w:type="dxa" w:w="2844"/>
          </w:tcPr>
          <w:p>
            <w:pPr>
              <w:spacing w:after="0"/>
              <w:jc w:val="left"/>
            </w:pPr>
            <w:r/>
            <w:r>
              <w:rPr>
                <w:rFonts w:ascii="Calibri" w:hAnsi="Calibri"/>
                <w:b w:val="0"/>
                <w:color w:val="1A1A1A"/>
                <w:sz w:val="24"/>
              </w:rPr>
              <w:t>POPs transversais</w:t>
            </w:r>
          </w:p>
        </w:tc>
        <w:tc>
          <w:tcPr>
            <w:tcW w:type="dxa" w:w="3422"/>
          </w:tcPr>
          <w:p>
            <w:pPr>
              <w:spacing w:after="0"/>
              <w:jc w:val="left"/>
            </w:pPr>
            <w:r/>
            <w:r>
              <w:rPr>
                <w:rFonts w:ascii="Calibri" w:hAnsi="Calibri"/>
                <w:b w:val="0"/>
                <w:color w:val="1A1A1A"/>
                <w:sz w:val="24"/>
              </w:rPr>
              <w:t>Inclusão de quatro POPs completos de governança tecnológica, sem inventar dose, energia ou parâmetro dependente de produto.</w:t>
            </w:r>
          </w:p>
        </w:tc>
        <w:tc>
          <w:tcPr>
            <w:tcW w:type="dxa" w:w="2806"/>
          </w:tcPr>
          <w:p>
            <w:pPr>
              <w:spacing w:after="0"/>
              <w:jc w:val="left"/>
            </w:pPr>
            <w:r/>
            <w:r>
              <w:rPr>
                <w:rFonts w:ascii="Calibri" w:hAnsi="Calibri"/>
                <w:b w:val="0"/>
                <w:color w:val="1A1A1A"/>
                <w:sz w:val="24"/>
              </w:rPr>
              <w:t>Converte o modelo em entrega utilizável sem produzir protocolo sem sustentação.</w:t>
            </w:r>
          </w:p>
        </w:tc>
      </w:tr>
      <w:tr>
        <w:trPr>
          <w:cantSplit/>
        </w:trPr>
        <w:tc>
          <w:tcPr>
            <w:tcW w:type="dxa" w:w="2844"/>
            <w:shd w:val="clear" w:color="auto" w:fill="F2F5F8"/>
          </w:tcPr>
          <w:p>
            <w:pPr>
              <w:spacing w:after="0"/>
              <w:jc w:val="left"/>
            </w:pPr>
            <w:r/>
            <w:r>
              <w:rPr>
                <w:rFonts w:ascii="Calibri" w:hAnsi="Calibri"/>
                <w:b w:val="0"/>
                <w:color w:val="1A1A1A"/>
                <w:sz w:val="24"/>
              </w:rPr>
              <w:t>Matriz de evidências</w:t>
            </w:r>
          </w:p>
        </w:tc>
        <w:tc>
          <w:tcPr>
            <w:tcW w:type="dxa" w:w="3422"/>
            <w:shd w:val="clear" w:color="auto" w:fill="F2F5F8"/>
          </w:tcPr>
          <w:p>
            <w:pPr>
              <w:spacing w:after="0"/>
              <w:jc w:val="left"/>
            </w:pPr>
            <w:r/>
            <w:r>
              <w:rPr>
                <w:rFonts w:ascii="Calibri" w:hAnsi="Calibri"/>
                <w:b w:val="0"/>
                <w:color w:val="1A1A1A"/>
                <w:sz w:val="24"/>
              </w:rPr>
              <w:t>Verificação individual de cada referência científica na base PubMed, com identificador conferido.</w:t>
            </w:r>
          </w:p>
        </w:tc>
        <w:tc>
          <w:tcPr>
            <w:tcW w:type="dxa" w:w="2806"/>
            <w:shd w:val="clear" w:color="auto" w:fill="F2F5F8"/>
          </w:tcPr>
          <w:p>
            <w:pPr>
              <w:spacing w:after="0"/>
              <w:jc w:val="left"/>
            </w:pPr>
            <w:r/>
            <w:r>
              <w:rPr>
                <w:rFonts w:ascii="Calibri" w:hAnsi="Calibri"/>
                <w:b w:val="0"/>
                <w:color w:val="1A1A1A"/>
                <w:sz w:val="24"/>
              </w:rPr>
              <w:t>Cinco referências confirmadas, nenhuma descartada e duas acrescentadas durante o processo.</w:t>
            </w:r>
          </w:p>
        </w:tc>
      </w:tr>
      <w:tr>
        <w:trPr>
          <w:cantSplit/>
        </w:trPr>
        <w:tc>
          <w:tcPr>
            <w:tcW w:type="dxa" w:w="2844"/>
          </w:tcPr>
          <w:p>
            <w:pPr>
              <w:spacing w:after="0"/>
              <w:jc w:val="left"/>
            </w:pPr>
            <w:r/>
            <w:r>
              <w:rPr>
                <w:rFonts w:ascii="Calibri" w:hAnsi="Calibri"/>
                <w:b w:val="0"/>
                <w:color w:val="1A1A1A"/>
                <w:sz w:val="24"/>
              </w:rPr>
              <w:t>Pauta de POPs e cartão de consulta rápida</w:t>
            </w:r>
          </w:p>
        </w:tc>
        <w:tc>
          <w:tcPr>
            <w:tcW w:type="dxa" w:w="3422"/>
          </w:tcPr>
          <w:p>
            <w:pPr>
              <w:spacing w:after="0"/>
              <w:jc w:val="left"/>
            </w:pPr>
            <w:r/>
            <w:r>
              <w:rPr>
                <w:rFonts w:ascii="Calibri" w:hAnsi="Calibri"/>
                <w:b w:val="0"/>
                <w:color w:val="1A1A1A"/>
                <w:sz w:val="24"/>
              </w:rPr>
              <w:t>Absorção de contribuição técnica interna: pauta ampliada para quinze temas, quinto POP transversal de biossegurança e documentação fotográfica, e especificação do cartão de consulta rápida derivado de POP aprovado.</w:t>
            </w:r>
          </w:p>
        </w:tc>
        <w:tc>
          <w:tcPr>
            <w:tcW w:type="dxa" w:w="2806"/>
          </w:tcPr>
          <w:p>
            <w:pPr>
              <w:spacing w:after="0"/>
              <w:jc w:val="left"/>
            </w:pPr>
            <w:r/>
            <w:r>
              <w:rPr>
                <w:rFonts w:ascii="Calibri" w:hAnsi="Calibri"/>
                <w:b w:val="0"/>
                <w:color w:val="1A1A1A"/>
                <w:sz w:val="24"/>
              </w:rPr>
              <w:t>Cobertura temática ampliada e formato de uso resolvido, sem enfraquecer a exigência de POP auditável.</w:t>
            </w:r>
          </w:p>
        </w:tc>
      </w:tr>
      <w:tr>
        <w:trPr>
          <w:cantSplit/>
        </w:trPr>
        <w:tc>
          <w:tcPr>
            <w:tcW w:type="dxa" w:w="2844"/>
            <w:shd w:val="clear" w:color="auto" w:fill="F2F5F8"/>
          </w:tcPr>
          <w:p>
            <w:pPr>
              <w:spacing w:after="0"/>
              <w:jc w:val="left"/>
            </w:pPr>
            <w:r/>
            <w:r>
              <w:rPr>
                <w:rFonts w:ascii="Calibri" w:hAnsi="Calibri"/>
                <w:b w:val="0"/>
                <w:color w:val="1A1A1A"/>
                <w:sz w:val="24"/>
              </w:rPr>
              <w:t>Calibração de evidência sobre elastografia</w:t>
            </w:r>
          </w:p>
        </w:tc>
        <w:tc>
          <w:tcPr>
            <w:tcW w:type="dxa" w:w="3422"/>
            <w:shd w:val="clear" w:color="auto" w:fill="F2F5F8"/>
          </w:tcPr>
          <w:p>
            <w:pPr>
              <w:spacing w:after="0"/>
              <w:jc w:val="left"/>
            </w:pPr>
            <w:r/>
            <w:r>
              <w:rPr>
                <w:rFonts w:ascii="Calibri" w:hAnsi="Calibri"/>
                <w:b w:val="0"/>
                <w:color w:val="1A1A1A"/>
                <w:sz w:val="24"/>
              </w:rPr>
              <w:t>Mantida a formulação de reprodutibilidade de medida. Rejeitada a atribuição de função de diferenciação entre lesões benignas e suspeitas.</w:t>
            </w:r>
          </w:p>
        </w:tc>
        <w:tc>
          <w:tcPr>
            <w:tcW w:type="dxa" w:w="2806"/>
            <w:shd w:val="clear" w:color="auto" w:fill="F2F5F8"/>
          </w:tcPr>
          <w:p>
            <w:pPr>
              <w:spacing w:after="0"/>
              <w:jc w:val="left"/>
            </w:pPr>
            <w:r/>
            <w:r>
              <w:rPr>
                <w:rFonts w:ascii="Calibri" w:hAnsi="Calibri"/>
                <w:b w:val="0"/>
                <w:color w:val="1A1A1A"/>
                <w:sz w:val="24"/>
              </w:rPr>
              <w:t>Impede a reintrodução de afirmação já corrigida em versão anterior.</w:t>
            </w:r>
          </w:p>
        </w:tc>
      </w:tr>
      <w:tr>
        <w:trPr>
          <w:cantSplit/>
        </w:trPr>
        <w:tc>
          <w:tcPr>
            <w:tcW w:type="dxa" w:w="2844"/>
          </w:tcPr>
          <w:p>
            <w:pPr>
              <w:spacing w:after="0"/>
              <w:jc w:val="left"/>
            </w:pPr>
            <w:r/>
            <w:r>
              <w:rPr>
                <w:rFonts w:ascii="Calibri" w:hAnsi="Calibri"/>
                <w:b w:val="0"/>
                <w:color w:val="1A1A1A"/>
                <w:sz w:val="24"/>
              </w:rPr>
              <w:t>Padrão editorial</w:t>
            </w:r>
          </w:p>
        </w:tc>
        <w:tc>
          <w:tcPr>
            <w:tcW w:type="dxa" w:w="3422"/>
          </w:tcPr>
          <w:p>
            <w:pPr>
              <w:spacing w:after="0"/>
              <w:jc w:val="left"/>
            </w:pPr>
            <w:r/>
            <w:r>
              <w:rPr>
                <w:rFonts w:ascii="Calibri" w:hAnsi="Calibri"/>
                <w:b w:val="0"/>
                <w:color w:val="1A1A1A"/>
                <w:sz w:val="24"/>
              </w:rPr>
              <w:t>Corpo e células em 12pt no mínimo, texto justificado, tabelas com layout fixo e cabeçalho repetido, ausência de travessões.</w:t>
            </w:r>
          </w:p>
        </w:tc>
        <w:tc>
          <w:tcPr>
            <w:tcW w:type="dxa" w:w="2806"/>
          </w:tcPr>
          <w:p>
            <w:pPr>
              <w:spacing w:after="0"/>
              <w:jc w:val="left"/>
            </w:pPr>
            <w:r/>
            <w:r>
              <w:rPr>
                <w:rFonts w:ascii="Calibri" w:hAnsi="Calibri"/>
                <w:b w:val="0"/>
                <w:color w:val="1A1A1A"/>
                <w:sz w:val="24"/>
              </w:rPr>
              <w:t>Uniformidade verificável por auditoria automatizada.</w:t>
            </w:r>
          </w:p>
        </w:tc>
      </w:tr>
    </w:tbl>
    <w:p>
      <w:r>
        <w:br w:type="page"/>
      </w:r>
    </w:p>
    <w:p>
      <w:pPr>
        <w:keepNext/>
        <w:spacing w:before="360" w:after="160"/>
        <w:jc w:val="left"/>
        <w:pBdr>
          <w:bottom w:val="single" w:sz="8" w:space="4" w:color="143C64"/>
        </w:pBdr>
      </w:pPr>
      <w:r>
        <w:rPr>
          <w:rFonts w:ascii="Calibri" w:hAnsi="Calibri"/>
          <w:b/>
          <w:color w:val="143C64"/>
          <w:sz w:val="30"/>
        </w:rPr>
        <w:t>4  Resultado da auditoria editorial</w:t>
      </w:r>
    </w:p>
    <w:p>
      <w:pPr>
        <w:spacing w:after="120"/>
        <w:jc w:val="both"/>
      </w:pPr>
      <w:r>
        <w:rPr>
          <w:rFonts w:ascii="Calibri" w:hAnsi="Calibri"/>
          <w:b w:val="0"/>
          <w:i w:val="0"/>
          <w:color w:val="1A1A1A"/>
          <w:sz w:val="24"/>
        </w:rPr>
        <w:t>A conferência do padrão editorial foi executada por rotina automatizada sobre os arquivos finais, varrendo parágrafos de corpo e todas as células de tabela, e complementada por inspeção visual das páginas de maior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793"/>
        <w:gridCol w:w="3471"/>
        <w:gridCol w:w="2808"/>
      </w:tblGrid>
      <w:tr>
        <w:trPr>
          <w:cantSplit/>
          <w:tblHeader/>
        </w:trPr>
        <w:tc>
          <w:tcPr>
            <w:tcW w:type="dxa" w:w="2793"/>
            <w:shd w:val="clear" w:color="auto" w:fill="143C64"/>
          </w:tcPr>
          <w:p>
            <w:pPr>
              <w:spacing w:after="0"/>
              <w:jc w:val="left"/>
            </w:pPr>
            <w:r/>
            <w:r>
              <w:rPr>
                <w:rFonts w:ascii="Calibri" w:hAnsi="Calibri"/>
                <w:b/>
                <w:color w:val="FFFFFF"/>
                <w:sz w:val="24"/>
              </w:rPr>
              <w:t>Verificação</w:t>
            </w:r>
          </w:p>
        </w:tc>
        <w:tc>
          <w:tcPr>
            <w:tcW w:type="dxa" w:w="3471"/>
            <w:shd w:val="clear" w:color="auto" w:fill="143C64"/>
          </w:tcPr>
          <w:p>
            <w:pPr>
              <w:spacing w:after="0"/>
              <w:jc w:val="left"/>
            </w:pPr>
            <w:r/>
            <w:r>
              <w:rPr>
                <w:rFonts w:ascii="Calibri" w:hAnsi="Calibri"/>
                <w:b/>
                <w:color w:val="FFFFFF"/>
                <w:sz w:val="24"/>
              </w:rPr>
              <w:t>Critério</w:t>
            </w:r>
          </w:p>
        </w:tc>
        <w:tc>
          <w:tcPr>
            <w:tcW w:type="dxa" w:w="2808"/>
            <w:shd w:val="clear" w:color="auto" w:fill="143C64"/>
          </w:tcPr>
          <w:p>
            <w:pPr>
              <w:spacing w:after="0"/>
              <w:jc w:val="left"/>
            </w:pPr>
            <w:r/>
            <w:r>
              <w:rPr>
                <w:rFonts w:ascii="Calibri" w:hAnsi="Calibri"/>
                <w:b/>
                <w:color w:val="FFFFFF"/>
                <w:sz w:val="24"/>
              </w:rPr>
              <w:t>Resultado</w:t>
            </w:r>
          </w:p>
        </w:tc>
      </w:tr>
      <w:tr>
        <w:trPr>
          <w:cantSplit/>
        </w:trPr>
        <w:tc>
          <w:tcPr>
            <w:tcW w:type="dxa" w:w="2793"/>
          </w:tcPr>
          <w:p>
            <w:pPr>
              <w:spacing w:after="0"/>
              <w:jc w:val="left"/>
            </w:pPr>
            <w:r/>
            <w:r>
              <w:rPr>
                <w:rFonts w:ascii="Calibri" w:hAnsi="Calibri"/>
                <w:b w:val="0"/>
                <w:color w:val="1A1A1A"/>
                <w:sz w:val="24"/>
              </w:rPr>
              <w:t>Fonte mínima</w:t>
            </w:r>
          </w:p>
        </w:tc>
        <w:tc>
          <w:tcPr>
            <w:tcW w:type="dxa" w:w="3471"/>
          </w:tcPr>
          <w:p>
            <w:pPr>
              <w:spacing w:after="0"/>
              <w:jc w:val="left"/>
            </w:pPr>
            <w:r/>
            <w:r>
              <w:rPr>
                <w:rFonts w:ascii="Calibri" w:hAnsi="Calibri"/>
                <w:b w:val="0"/>
                <w:color w:val="1A1A1A"/>
                <w:sz w:val="24"/>
              </w:rPr>
              <w:t>12pt em corpo e em células de tabela</w:t>
            </w:r>
          </w:p>
        </w:tc>
        <w:tc>
          <w:tcPr>
            <w:tcW w:type="dxa" w:w="2808"/>
          </w:tcPr>
          <w:p>
            <w:pPr>
              <w:spacing w:after="0"/>
              <w:jc w:val="left"/>
            </w:pPr>
            <w:r/>
            <w:r>
              <w:rPr>
                <w:rFonts w:ascii="Calibri" w:hAnsi="Calibri"/>
                <w:b w:val="0"/>
                <w:color w:val="1A1A1A"/>
                <w:sz w:val="24"/>
              </w:rPr>
              <w:t>Nenhuma ocorrência abaixo</w:t>
            </w:r>
          </w:p>
        </w:tc>
      </w:tr>
      <w:tr>
        <w:trPr>
          <w:cantSplit/>
        </w:trPr>
        <w:tc>
          <w:tcPr>
            <w:tcW w:type="dxa" w:w="2793"/>
            <w:shd w:val="clear" w:color="auto" w:fill="F2F5F8"/>
          </w:tcPr>
          <w:p>
            <w:pPr>
              <w:spacing w:after="0"/>
              <w:jc w:val="left"/>
            </w:pPr>
            <w:r/>
            <w:r>
              <w:rPr>
                <w:rFonts w:ascii="Calibri" w:hAnsi="Calibri"/>
                <w:b w:val="0"/>
                <w:color w:val="1A1A1A"/>
                <w:sz w:val="24"/>
              </w:rPr>
              <w:t>Alinhamento</w:t>
            </w:r>
          </w:p>
        </w:tc>
        <w:tc>
          <w:tcPr>
            <w:tcW w:type="dxa" w:w="3471"/>
            <w:shd w:val="clear" w:color="auto" w:fill="F2F5F8"/>
          </w:tcPr>
          <w:p>
            <w:pPr>
              <w:spacing w:after="0"/>
              <w:jc w:val="left"/>
            </w:pPr>
            <w:r/>
            <w:r>
              <w:rPr>
                <w:rFonts w:ascii="Calibri" w:hAnsi="Calibri"/>
                <w:b w:val="0"/>
                <w:color w:val="1A1A1A"/>
                <w:sz w:val="24"/>
              </w:rPr>
              <w:t>Corpo justificado; células alinhadas à esquerda</w:t>
            </w:r>
          </w:p>
        </w:tc>
        <w:tc>
          <w:tcPr>
            <w:tcW w:type="dxa" w:w="2808"/>
            <w:shd w:val="clear" w:color="auto" w:fill="F2F5F8"/>
          </w:tcPr>
          <w:p>
            <w:pPr>
              <w:spacing w:after="0"/>
              <w:jc w:val="left"/>
            </w:pPr>
            <w:r/>
            <w:r>
              <w:rPr>
                <w:rFonts w:ascii="Calibri" w:hAnsi="Calibri"/>
                <w:b w:val="0"/>
                <w:color w:val="1A1A1A"/>
                <w:sz w:val="24"/>
              </w:rPr>
              <w:t>Conforme</w:t>
            </w:r>
          </w:p>
        </w:tc>
      </w:tr>
      <w:tr>
        <w:trPr>
          <w:cantSplit/>
        </w:trPr>
        <w:tc>
          <w:tcPr>
            <w:tcW w:type="dxa" w:w="2793"/>
          </w:tcPr>
          <w:p>
            <w:pPr>
              <w:spacing w:after="0"/>
              <w:jc w:val="left"/>
            </w:pPr>
            <w:r/>
            <w:r>
              <w:rPr>
                <w:rFonts w:ascii="Calibri" w:hAnsi="Calibri"/>
                <w:b w:val="0"/>
                <w:color w:val="1A1A1A"/>
                <w:sz w:val="24"/>
              </w:rPr>
              <w:t>Travessões</w:t>
            </w:r>
          </w:p>
        </w:tc>
        <w:tc>
          <w:tcPr>
            <w:tcW w:type="dxa" w:w="3471"/>
          </w:tcPr>
          <w:p>
            <w:pPr>
              <w:spacing w:after="0"/>
              <w:jc w:val="left"/>
            </w:pPr>
            <w:r/>
            <w:r>
              <w:rPr>
                <w:rFonts w:ascii="Calibri" w:hAnsi="Calibri"/>
                <w:b w:val="0"/>
                <w:color w:val="1A1A1A"/>
                <w:sz w:val="24"/>
              </w:rPr>
              <w:t>Ausência do caractere</w:t>
            </w:r>
          </w:p>
        </w:tc>
        <w:tc>
          <w:tcPr>
            <w:tcW w:type="dxa" w:w="2808"/>
          </w:tcPr>
          <w:p>
            <w:pPr>
              <w:spacing w:after="0"/>
              <w:jc w:val="left"/>
            </w:pPr>
            <w:r/>
            <w:r>
              <w:rPr>
                <w:rFonts w:ascii="Calibri" w:hAnsi="Calibri"/>
                <w:b w:val="0"/>
                <w:color w:val="1A1A1A"/>
                <w:sz w:val="24"/>
              </w:rPr>
              <w:t>Nenhuma ocorrência</w:t>
            </w:r>
          </w:p>
        </w:tc>
      </w:tr>
      <w:tr>
        <w:trPr>
          <w:cantSplit/>
        </w:trPr>
        <w:tc>
          <w:tcPr>
            <w:tcW w:type="dxa" w:w="2793"/>
            <w:shd w:val="clear" w:color="auto" w:fill="F2F5F8"/>
          </w:tcPr>
          <w:p>
            <w:pPr>
              <w:spacing w:after="0"/>
              <w:jc w:val="left"/>
            </w:pPr>
            <w:r/>
            <w:r>
              <w:rPr>
                <w:rFonts w:ascii="Calibri" w:hAnsi="Calibri"/>
                <w:b w:val="0"/>
                <w:color w:val="1A1A1A"/>
                <w:sz w:val="24"/>
              </w:rPr>
              <w:t>Marcadores de formatação</w:t>
            </w:r>
          </w:p>
        </w:tc>
        <w:tc>
          <w:tcPr>
            <w:tcW w:type="dxa" w:w="3471"/>
            <w:shd w:val="clear" w:color="auto" w:fill="F2F5F8"/>
          </w:tcPr>
          <w:p>
            <w:pPr>
              <w:spacing w:after="0"/>
              <w:jc w:val="left"/>
            </w:pPr>
            <w:r/>
            <w:r>
              <w:rPr>
                <w:rFonts w:ascii="Calibri" w:hAnsi="Calibri"/>
                <w:b w:val="0"/>
                <w:color w:val="1A1A1A"/>
                <w:sz w:val="24"/>
              </w:rPr>
              <w:t>Ausência de marcador impresso literalmente</w:t>
            </w:r>
          </w:p>
        </w:tc>
        <w:tc>
          <w:tcPr>
            <w:tcW w:type="dxa" w:w="2808"/>
            <w:shd w:val="clear" w:color="auto" w:fill="F2F5F8"/>
          </w:tcPr>
          <w:p>
            <w:pPr>
              <w:spacing w:after="0"/>
              <w:jc w:val="left"/>
            </w:pPr>
            <w:r/>
            <w:r>
              <w:rPr>
                <w:rFonts w:ascii="Calibri" w:hAnsi="Calibri"/>
                <w:b w:val="0"/>
                <w:color w:val="1A1A1A"/>
                <w:sz w:val="24"/>
              </w:rPr>
              <w:t>Nenhuma ocorrência</w:t>
            </w:r>
          </w:p>
        </w:tc>
      </w:tr>
      <w:tr>
        <w:trPr>
          <w:cantSplit/>
        </w:trPr>
        <w:tc>
          <w:tcPr>
            <w:tcW w:type="dxa" w:w="2793"/>
          </w:tcPr>
          <w:p>
            <w:pPr>
              <w:spacing w:after="0"/>
              <w:jc w:val="left"/>
            </w:pPr>
            <w:r/>
            <w:r>
              <w:rPr>
                <w:rFonts w:ascii="Calibri" w:hAnsi="Calibri"/>
                <w:b w:val="0"/>
                <w:color w:val="1A1A1A"/>
                <w:sz w:val="24"/>
              </w:rPr>
              <w:t>Tabelas</w:t>
            </w:r>
          </w:p>
        </w:tc>
        <w:tc>
          <w:tcPr>
            <w:tcW w:type="dxa" w:w="3471"/>
          </w:tcPr>
          <w:p>
            <w:pPr>
              <w:spacing w:after="0"/>
              <w:jc w:val="left"/>
            </w:pPr>
            <w:r/>
            <w:r>
              <w:rPr>
                <w:rFonts w:ascii="Calibri" w:hAnsi="Calibri"/>
                <w:b w:val="0"/>
                <w:color w:val="1A1A1A"/>
                <w:sz w:val="24"/>
              </w:rPr>
              <w:t>Layout fixo e cabeçalho repetido a cada página</w:t>
            </w:r>
          </w:p>
        </w:tc>
        <w:tc>
          <w:tcPr>
            <w:tcW w:type="dxa" w:w="2808"/>
          </w:tcPr>
          <w:p>
            <w:pPr>
              <w:spacing w:after="0"/>
              <w:jc w:val="left"/>
            </w:pPr>
            <w:r/>
            <w:r>
              <w:rPr>
                <w:rFonts w:ascii="Calibri" w:hAnsi="Calibri"/>
                <w:b w:val="0"/>
                <w:color w:val="1A1A1A"/>
                <w:sz w:val="24"/>
              </w:rPr>
              <w:t>Conforme</w:t>
            </w:r>
          </w:p>
        </w:tc>
      </w:tr>
      <w:tr>
        <w:trPr>
          <w:cantSplit/>
        </w:trPr>
        <w:tc>
          <w:tcPr>
            <w:tcW w:type="dxa" w:w="2793"/>
            <w:shd w:val="clear" w:color="auto" w:fill="F2F5F8"/>
          </w:tcPr>
          <w:p>
            <w:pPr>
              <w:spacing w:after="0"/>
              <w:jc w:val="left"/>
            </w:pPr>
            <w:r/>
            <w:r>
              <w:rPr>
                <w:rFonts w:ascii="Calibri" w:hAnsi="Calibri"/>
                <w:b w:val="0"/>
                <w:color w:val="1A1A1A"/>
                <w:sz w:val="24"/>
              </w:rPr>
              <w:t>Quebra de palavra em coluna</w:t>
            </w:r>
          </w:p>
        </w:tc>
        <w:tc>
          <w:tcPr>
            <w:tcW w:type="dxa" w:w="3471"/>
            <w:shd w:val="clear" w:color="auto" w:fill="F2F5F8"/>
          </w:tcPr>
          <w:p>
            <w:pPr>
              <w:spacing w:after="0"/>
              <w:jc w:val="left"/>
            </w:pPr>
            <w:r/>
            <w:r>
              <w:rPr>
                <w:rFonts w:ascii="Calibri" w:hAnsi="Calibri"/>
                <w:b w:val="0"/>
                <w:color w:val="1A1A1A"/>
                <w:sz w:val="24"/>
              </w:rPr>
              <w:t>Nenhuma palavra partida ao meio</w:t>
            </w:r>
          </w:p>
        </w:tc>
        <w:tc>
          <w:tcPr>
            <w:tcW w:type="dxa" w:w="2808"/>
            <w:shd w:val="clear" w:color="auto" w:fill="F2F5F8"/>
          </w:tcPr>
          <w:p>
            <w:pPr>
              <w:spacing w:after="0"/>
              <w:jc w:val="left"/>
            </w:pPr>
            <w:r/>
            <w:r>
              <w:rPr>
                <w:rFonts w:ascii="Calibri" w:hAnsi="Calibri"/>
                <w:b w:val="0"/>
                <w:color w:val="1A1A1A"/>
                <w:sz w:val="24"/>
              </w:rPr>
              <w:t>Conforme, após reajuste de larguras</w:t>
            </w:r>
          </w:p>
        </w:tc>
      </w:tr>
      <w:tr>
        <w:trPr>
          <w:cantSplit/>
        </w:trPr>
        <w:tc>
          <w:tcPr>
            <w:tcW w:type="dxa" w:w="2793"/>
          </w:tcPr>
          <w:p>
            <w:pPr>
              <w:spacing w:after="0"/>
              <w:jc w:val="left"/>
            </w:pPr>
            <w:r/>
            <w:r>
              <w:rPr>
                <w:rFonts w:ascii="Calibri" w:hAnsi="Calibri"/>
                <w:b w:val="0"/>
                <w:color w:val="1A1A1A"/>
                <w:sz w:val="24"/>
              </w:rPr>
              <w:t>Fundo</w:t>
            </w:r>
          </w:p>
        </w:tc>
        <w:tc>
          <w:tcPr>
            <w:tcW w:type="dxa" w:w="3471"/>
          </w:tcPr>
          <w:p>
            <w:pPr>
              <w:spacing w:after="0"/>
              <w:jc w:val="left"/>
            </w:pPr>
            <w:r/>
            <w:r>
              <w:rPr>
                <w:rFonts w:ascii="Calibri" w:hAnsi="Calibri"/>
                <w:b w:val="0"/>
                <w:color w:val="1A1A1A"/>
                <w:sz w:val="24"/>
              </w:rPr>
              <w:t>Branco, por economia de impressão</w:t>
            </w:r>
          </w:p>
        </w:tc>
        <w:tc>
          <w:tcPr>
            <w:tcW w:type="dxa" w:w="2808"/>
          </w:tcPr>
          <w:p>
            <w:pPr>
              <w:spacing w:after="0"/>
              <w:jc w:val="left"/>
            </w:pPr>
            <w:r/>
            <w:r>
              <w:rPr>
                <w:rFonts w:ascii="Calibri" w:hAnsi="Calibri"/>
                <w:b w:val="0"/>
                <w:color w:val="1A1A1A"/>
                <w:sz w:val="24"/>
              </w:rPr>
              <w:t>Conforme</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Regressão identificada e corrigida</w:t>
            </w:r>
          </w:p>
          <w:p>
            <w:pPr>
              <w:spacing w:after="0"/>
              <w:jc w:val="both"/>
            </w:pPr>
            <w:r>
              <w:rPr>
                <w:rFonts w:ascii="Calibri" w:hAnsi="Calibri"/>
                <w:color w:val="1A1A1A"/>
                <w:sz w:val="24"/>
              </w:rPr>
              <w:t>Em versão intermediária, o aumento da fonte para 12pt fez com que colunas dimensionadas para 10pt passassem a partir palavras ao meio, e documentos acrescentados posteriormente reintroduziram corpo em 9pt e 10,5pt nas tabelas de capa. Ambos os defeitos foram corrigidos na origem e reverificados. Fica a regra: todo documento acrescentado ao pacote deve ser gerado pelo mesmo módulo de estilo, sob pena de reintroduzir defeito já resolvido.</w:t>
            </w:r>
          </w:p>
        </w:tc>
      </w:tr>
    </w:tbl>
    <w:p>
      <w:pPr>
        <w:spacing w:after="80"/>
      </w:pPr>
    </w:p>
    <w:p>
      <w:pPr>
        <w:keepNext/>
        <w:spacing w:before="360" w:after="160"/>
        <w:jc w:val="left"/>
        <w:pBdr>
          <w:bottom w:val="single" w:sz="8" w:space="4" w:color="143C64"/>
        </w:pBdr>
      </w:pPr>
      <w:r>
        <w:rPr>
          <w:rFonts w:ascii="Calibri" w:hAnsi="Calibri"/>
          <w:b/>
          <w:color w:val="143C64"/>
          <w:sz w:val="30"/>
        </w:rPr>
        <w:t>5  Itens que não devem ser artificialmente fechados</w:t>
      </w:r>
    </w:p>
    <w:p>
      <w:pPr>
        <w:spacing w:after="120"/>
        <w:jc w:val="both"/>
      </w:pPr>
      <w:r>
        <w:rPr>
          <w:rFonts w:ascii="Calibri" w:hAnsi="Calibri"/>
          <w:b w:val="0"/>
          <w:i w:val="0"/>
          <w:color w:val="1A1A1A"/>
          <w:sz w:val="24"/>
        </w:rPr>
        <w:t>A auditoria considera inadequado preencher por inferência qualquer item que dependa de autoridade institucional ou de dados inexistentes. Os pontos abaixo permanecem controlados e declarados, e não constituem falha do pacote.</w:t>
      </w:r>
    </w:p>
    <w:p>
      <w:pPr>
        <w:pStyle w:val="ListBullet"/>
        <w:spacing w:after="60"/>
        <w:ind w:left="397"/>
        <w:jc w:val="both"/>
      </w:pPr>
      <w:r>
        <w:rPr>
          <w:rFonts w:ascii="Calibri" w:hAnsi="Calibri"/>
          <w:color w:val="1A1A1A"/>
          <w:sz w:val="24"/>
        </w:rPr>
        <w:t>Assinatura e aprovação pela Diretoria Executiva ou pelo Plenário, quando exigidas.</w:t>
      </w:r>
    </w:p>
    <w:p>
      <w:pPr>
        <w:pStyle w:val="ListBullet"/>
        <w:spacing w:after="60"/>
        <w:ind w:left="397"/>
        <w:jc w:val="both"/>
      </w:pPr>
      <w:r>
        <w:rPr>
          <w:rFonts w:ascii="Calibri" w:hAnsi="Calibri"/>
          <w:color w:val="1A1A1A"/>
          <w:sz w:val="24"/>
        </w:rPr>
        <w:t>Interpretação jurídica oficial das controvérsias judiciais em curso.</w:t>
      </w:r>
    </w:p>
    <w:p>
      <w:pPr>
        <w:pStyle w:val="ListBullet"/>
        <w:spacing w:after="60"/>
        <w:ind w:left="397"/>
        <w:jc w:val="both"/>
      </w:pPr>
      <w:r>
        <w:rPr>
          <w:rFonts w:ascii="Calibri" w:hAnsi="Calibri"/>
          <w:color w:val="1A1A1A"/>
          <w:sz w:val="24"/>
        </w:rPr>
        <w:t>Exigências adicionais de Vigilância Sanitária estadual ou municipal que variem por localidade.</w:t>
      </w:r>
    </w:p>
    <w:p>
      <w:pPr>
        <w:pStyle w:val="ListBullet"/>
        <w:spacing w:after="60"/>
        <w:ind w:left="397"/>
        <w:jc w:val="both"/>
      </w:pPr>
      <w:r>
        <w:rPr>
          <w:rFonts w:ascii="Calibri" w:hAnsi="Calibri"/>
          <w:color w:val="1A1A1A"/>
          <w:sz w:val="24"/>
        </w:rPr>
        <w:t>Parâmetros operacionais de equipamentos sem definição de modelo e sem instrução de uso conferida.</w:t>
      </w:r>
    </w:p>
    <w:p>
      <w:pPr>
        <w:pStyle w:val="ListBullet"/>
        <w:spacing w:after="60"/>
        <w:ind w:left="397"/>
        <w:jc w:val="both"/>
      </w:pPr>
      <w:r>
        <w:rPr>
          <w:rFonts w:ascii="Calibri" w:hAnsi="Calibri"/>
          <w:color w:val="1A1A1A"/>
          <w:sz w:val="24"/>
        </w:rPr>
        <w:t>Estimativas epidemiológicas estaduais sem base de dados válida e método executado.</w:t>
      </w:r>
    </w:p>
    <w:p>
      <w:pPr>
        <w:pStyle w:val="ListBullet"/>
        <w:spacing w:after="60"/>
        <w:ind w:left="397"/>
        <w:jc w:val="both"/>
      </w:pPr>
      <w:r>
        <w:rPr>
          <w:rFonts w:ascii="Calibri" w:hAnsi="Calibri"/>
          <w:color w:val="1A1A1A"/>
          <w:sz w:val="24"/>
        </w:rPr>
        <w:t>Conteúdo integral das Resoluções CFO nº 283, 284 e 285 de 2026, cuja consulta ao sistema oficial de atos ainda não foi registrada com data e responsável.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Ressalva sobre declaração de conferência</w:t>
            </w:r>
          </w:p>
          <w:p>
            <w:pPr>
              <w:spacing w:after="0"/>
              <w:jc w:val="both"/>
            </w:pPr>
            <w:r>
              <w:rPr>
                <w:rFonts w:ascii="Calibri" w:hAnsi="Calibri"/>
                <w:color w:val="1A1A1A"/>
                <w:sz w:val="24"/>
              </w:rPr>
              <w:t>Versão anterior deste relatório afirmava que os atos do CFO de 2025 e 2026 haviam sido conferidos em fonte oficial, sem registrar data, responsável e resultado da conferência. Declaração de verificação sem registro do resultado não é verificável e foi retirada. O item volta a constar como pendência até que a consulta seja documentada.</w:t>
            </w:r>
          </w:p>
        </w:tc>
      </w:tr>
    </w:tbl>
    <w:p>
      <w:pPr>
        <w:spacing w:after="80"/>
      </w:pPr>
    </w:p>
    <w:p>
      <w:r>
        <w:br w:type="page"/>
      </w:r>
    </w:p>
    <w:p>
      <w:pPr>
        <w:keepNext/>
        <w:spacing w:before="360" w:after="160"/>
        <w:jc w:val="left"/>
        <w:pBdr>
          <w:bottom w:val="single" w:sz="8" w:space="4" w:color="143C64"/>
        </w:pBdr>
      </w:pPr>
      <w:r>
        <w:rPr>
          <w:rFonts w:ascii="Calibri" w:hAnsi="Calibri"/>
          <w:b/>
          <w:color w:val="143C64"/>
          <w:sz w:val="30"/>
        </w:rPr>
        <w:t>6  Matriz de liberação documental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694"/>
        <w:gridCol w:w="3537"/>
        <w:gridCol w:w="2240"/>
        <w:gridCol w:w="2601"/>
      </w:tblGrid>
      <w:tr>
        <w:trPr>
          <w:cantSplit/>
          <w:tblHeader/>
        </w:trPr>
        <w:tc>
          <w:tcPr>
            <w:tcW w:type="dxa" w:w="694"/>
            <w:shd w:val="clear" w:color="auto" w:fill="143C64"/>
          </w:tcPr>
          <w:p>
            <w:pPr>
              <w:spacing w:after="0"/>
              <w:jc w:val="left"/>
            </w:pPr>
            <w:r/>
            <w:r>
              <w:rPr>
                <w:rFonts w:ascii="Calibri" w:hAnsi="Calibri"/>
                <w:b/>
                <w:color w:val="FFFFFF"/>
                <w:sz w:val="24"/>
              </w:rPr>
              <w:t>Nº</w:t>
            </w:r>
          </w:p>
        </w:tc>
        <w:tc>
          <w:tcPr>
            <w:tcW w:type="dxa" w:w="3537"/>
            <w:shd w:val="clear" w:color="auto" w:fill="143C64"/>
          </w:tcPr>
          <w:p>
            <w:pPr>
              <w:spacing w:after="0"/>
              <w:jc w:val="left"/>
            </w:pPr>
            <w:r/>
            <w:r>
              <w:rPr>
                <w:rFonts w:ascii="Calibri" w:hAnsi="Calibri"/>
                <w:b/>
                <w:color w:val="FFFFFF"/>
                <w:sz w:val="24"/>
              </w:rPr>
              <w:t>Documento</w:t>
            </w:r>
          </w:p>
        </w:tc>
        <w:tc>
          <w:tcPr>
            <w:tcW w:type="dxa" w:w="2240"/>
            <w:shd w:val="clear" w:color="auto" w:fill="143C64"/>
          </w:tcPr>
          <w:p>
            <w:pPr>
              <w:spacing w:after="0"/>
              <w:jc w:val="left"/>
            </w:pPr>
            <w:r/>
            <w:r>
              <w:rPr>
                <w:rFonts w:ascii="Calibri" w:hAnsi="Calibri"/>
                <w:b/>
                <w:color w:val="FFFFFF"/>
                <w:sz w:val="24"/>
              </w:rPr>
              <w:t>Conteúdo técnico</w:t>
            </w:r>
          </w:p>
        </w:tc>
        <w:tc>
          <w:tcPr>
            <w:tcW w:type="dxa" w:w="2601"/>
            <w:shd w:val="clear" w:color="auto" w:fill="143C64"/>
          </w:tcPr>
          <w:p>
            <w:pPr>
              <w:spacing w:after="0"/>
              <w:jc w:val="left"/>
            </w:pPr>
            <w:r/>
            <w:r>
              <w:rPr>
                <w:rFonts w:ascii="Calibri" w:hAnsi="Calibri"/>
                <w:b/>
                <w:color w:val="FFFFFF"/>
                <w:sz w:val="24"/>
              </w:rPr>
              <w:t>Próximo ato</w:t>
            </w:r>
          </w:p>
        </w:tc>
      </w:tr>
      <w:tr>
        <w:trPr>
          <w:cantSplit/>
        </w:trPr>
        <w:tc>
          <w:tcPr>
            <w:tcW w:type="dxa" w:w="694"/>
          </w:tcPr>
          <w:p>
            <w:pPr>
              <w:spacing w:after="0"/>
              <w:jc w:val="left"/>
            </w:pPr>
            <w:r/>
            <w:r>
              <w:rPr>
                <w:rFonts w:ascii="Calibri" w:hAnsi="Calibri"/>
                <w:b w:val="0"/>
                <w:color w:val="1A1A1A"/>
                <w:sz w:val="24"/>
              </w:rPr>
              <w:t>00</w:t>
            </w:r>
          </w:p>
        </w:tc>
        <w:tc>
          <w:tcPr>
            <w:tcW w:type="dxa" w:w="3537"/>
          </w:tcPr>
          <w:p>
            <w:pPr>
              <w:spacing w:after="0"/>
              <w:jc w:val="left"/>
            </w:pPr>
            <w:r/>
            <w:r>
              <w:rPr>
                <w:rFonts w:ascii="Calibri" w:hAnsi="Calibri"/>
                <w:b w:val="0"/>
                <w:color w:val="1A1A1A"/>
                <w:sz w:val="24"/>
              </w:rPr>
              <w:t>Índice Mestre e Controle de Entregas</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01</w:t>
            </w:r>
          </w:p>
        </w:tc>
        <w:tc>
          <w:tcPr>
            <w:tcW w:type="dxa" w:w="3537"/>
            <w:shd w:val="clear" w:color="auto" w:fill="F2F5F8"/>
          </w:tcPr>
          <w:p>
            <w:pPr>
              <w:spacing w:after="0"/>
              <w:jc w:val="left"/>
            </w:pPr>
            <w:r/>
            <w:r>
              <w:rPr>
                <w:rFonts w:ascii="Calibri" w:hAnsi="Calibri"/>
                <w:b w:val="0"/>
                <w:color w:val="1A1A1A"/>
                <w:sz w:val="24"/>
              </w:rPr>
              <w:t>Programa HOF Segura 2026</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02</w:t>
            </w:r>
          </w:p>
        </w:tc>
        <w:tc>
          <w:tcPr>
            <w:tcW w:type="dxa" w:w="3537"/>
          </w:tcPr>
          <w:p>
            <w:pPr>
              <w:spacing w:after="0"/>
              <w:jc w:val="left"/>
            </w:pPr>
            <w:r/>
            <w:r>
              <w:rPr>
                <w:rFonts w:ascii="Calibri" w:hAnsi="Calibri"/>
                <w:b w:val="0"/>
                <w:color w:val="1A1A1A"/>
                <w:sz w:val="24"/>
              </w:rPr>
              <w:t>Mapa Normativo Consolidado</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03</w:t>
            </w:r>
          </w:p>
        </w:tc>
        <w:tc>
          <w:tcPr>
            <w:tcW w:type="dxa" w:w="3537"/>
            <w:shd w:val="clear" w:color="auto" w:fill="F2F5F8"/>
          </w:tcPr>
          <w:p>
            <w:pPr>
              <w:spacing w:after="0"/>
              <w:jc w:val="left"/>
            </w:pPr>
            <w:r/>
            <w:r>
              <w:rPr>
                <w:rFonts w:ascii="Calibri" w:hAnsi="Calibri"/>
                <w:b w:val="0"/>
                <w:color w:val="1A1A1A"/>
                <w:sz w:val="24"/>
              </w:rPr>
              <w:t>Minutas de Consulta Formal</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04</w:t>
            </w:r>
          </w:p>
        </w:tc>
        <w:tc>
          <w:tcPr>
            <w:tcW w:type="dxa" w:w="3537"/>
          </w:tcPr>
          <w:p>
            <w:pPr>
              <w:spacing w:after="0"/>
              <w:jc w:val="left"/>
            </w:pPr>
            <w:r/>
            <w:r>
              <w:rPr>
                <w:rFonts w:ascii="Calibri" w:hAnsi="Calibri"/>
                <w:b w:val="0"/>
                <w:color w:val="1A1A1A"/>
                <w:sz w:val="24"/>
              </w:rPr>
              <w:t>Protocolo de Levantamento</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05</w:t>
            </w:r>
          </w:p>
        </w:tc>
        <w:tc>
          <w:tcPr>
            <w:tcW w:type="dxa" w:w="3537"/>
            <w:shd w:val="clear" w:color="auto" w:fill="F2F5F8"/>
          </w:tcPr>
          <w:p>
            <w:pPr>
              <w:spacing w:after="0"/>
              <w:jc w:val="left"/>
            </w:pPr>
            <w:r/>
            <w:r>
              <w:rPr>
                <w:rFonts w:ascii="Calibri" w:hAnsi="Calibri"/>
                <w:b w:val="0"/>
                <w:color w:val="1A1A1A"/>
                <w:sz w:val="24"/>
              </w:rPr>
              <w:t>Modelo Mestre de POP e POPs Prioritários</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06</w:t>
            </w:r>
          </w:p>
        </w:tc>
        <w:tc>
          <w:tcPr>
            <w:tcW w:type="dxa" w:w="3537"/>
          </w:tcPr>
          <w:p>
            <w:pPr>
              <w:spacing w:after="0"/>
              <w:jc w:val="left"/>
            </w:pPr>
            <w:r/>
            <w:r>
              <w:rPr>
                <w:rFonts w:ascii="Calibri" w:hAnsi="Calibri"/>
                <w:b w:val="0"/>
                <w:color w:val="1A1A1A"/>
                <w:sz w:val="24"/>
              </w:rPr>
              <w:t>Matriz de Avaliação Tecnológica</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07</w:t>
            </w:r>
          </w:p>
        </w:tc>
        <w:tc>
          <w:tcPr>
            <w:tcW w:type="dxa" w:w="3537"/>
            <w:shd w:val="clear" w:color="auto" w:fill="F2F5F8"/>
          </w:tcPr>
          <w:p>
            <w:pPr>
              <w:spacing w:after="0"/>
              <w:jc w:val="left"/>
            </w:pPr>
            <w:r/>
            <w:r>
              <w:rPr>
                <w:rFonts w:ascii="Calibri" w:hAnsi="Calibri"/>
                <w:b w:val="0"/>
                <w:color w:val="1A1A1A"/>
                <w:sz w:val="24"/>
              </w:rPr>
              <w:t>Fluxograma Estadual de Intercorrências</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08</w:t>
            </w:r>
          </w:p>
        </w:tc>
        <w:tc>
          <w:tcPr>
            <w:tcW w:type="dxa" w:w="3537"/>
          </w:tcPr>
          <w:p>
            <w:pPr>
              <w:spacing w:after="0"/>
              <w:jc w:val="left"/>
            </w:pPr>
            <w:r/>
            <w:r>
              <w:rPr>
                <w:rFonts w:ascii="Calibri" w:hAnsi="Calibri"/>
                <w:b w:val="0"/>
                <w:color w:val="1A1A1A"/>
                <w:sz w:val="24"/>
              </w:rPr>
              <w:t>Guia de Diagnóstico Precoce</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09</w:t>
            </w:r>
          </w:p>
        </w:tc>
        <w:tc>
          <w:tcPr>
            <w:tcW w:type="dxa" w:w="3537"/>
            <w:shd w:val="clear" w:color="auto" w:fill="F2F5F8"/>
          </w:tcPr>
          <w:p>
            <w:pPr>
              <w:spacing w:after="0"/>
              <w:jc w:val="left"/>
            </w:pPr>
            <w:r/>
            <w:r>
              <w:rPr>
                <w:rFonts w:ascii="Calibri" w:hAnsi="Calibri"/>
                <w:b w:val="0"/>
                <w:color w:val="1A1A1A"/>
                <w:sz w:val="24"/>
              </w:rPr>
              <w:t>Checklist de Segurança Clínica</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10</w:t>
            </w:r>
          </w:p>
        </w:tc>
        <w:tc>
          <w:tcPr>
            <w:tcW w:type="dxa" w:w="3537"/>
          </w:tcPr>
          <w:p>
            <w:pPr>
              <w:spacing w:after="0"/>
              <w:jc w:val="left"/>
            </w:pPr>
            <w:r/>
            <w:r>
              <w:rPr>
                <w:rFonts w:ascii="Calibri" w:hAnsi="Calibri"/>
                <w:b w:val="0"/>
                <w:color w:val="1A1A1A"/>
                <w:sz w:val="24"/>
              </w:rPr>
              <w:t>Manual de Boas Práticas em Tecnologias</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11</w:t>
            </w:r>
          </w:p>
        </w:tc>
        <w:tc>
          <w:tcPr>
            <w:tcW w:type="dxa" w:w="3537"/>
            <w:shd w:val="clear" w:color="auto" w:fill="F2F5F8"/>
          </w:tcPr>
          <w:p>
            <w:pPr>
              <w:spacing w:after="0"/>
              <w:jc w:val="left"/>
            </w:pPr>
            <w:r/>
            <w:r>
              <w:rPr>
                <w:rFonts w:ascii="Calibri" w:hAnsi="Calibri"/>
                <w:b w:val="0"/>
                <w:color w:val="1A1A1A"/>
                <w:sz w:val="24"/>
              </w:rPr>
              <w:t>Relatório-piloto de Tecnologias Emergentes</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12</w:t>
            </w:r>
          </w:p>
        </w:tc>
        <w:tc>
          <w:tcPr>
            <w:tcW w:type="dxa" w:w="3537"/>
          </w:tcPr>
          <w:p>
            <w:pPr>
              <w:spacing w:after="0"/>
              <w:jc w:val="left"/>
            </w:pPr>
            <w:r/>
            <w:r>
              <w:rPr>
                <w:rFonts w:ascii="Calibri" w:hAnsi="Calibri"/>
                <w:b w:val="0"/>
                <w:color w:val="1A1A1A"/>
                <w:sz w:val="24"/>
              </w:rPr>
              <w:t>Matriz de Evidências e Referências</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14</w:t>
            </w:r>
          </w:p>
        </w:tc>
        <w:tc>
          <w:tcPr>
            <w:tcW w:type="dxa" w:w="3537"/>
            <w:shd w:val="clear" w:color="auto" w:fill="F2F5F8"/>
          </w:tcPr>
          <w:p>
            <w:pPr>
              <w:spacing w:after="0"/>
              <w:jc w:val="left"/>
            </w:pPr>
            <w:r/>
            <w:r>
              <w:rPr>
                <w:rFonts w:ascii="Calibri" w:hAnsi="Calibri"/>
                <w:b w:val="0"/>
                <w:color w:val="1A1A1A"/>
                <w:sz w:val="24"/>
              </w:rPr>
              <w:t>Quadro de Deliberação e Validação Institucional</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15</w:t>
            </w:r>
          </w:p>
        </w:tc>
        <w:tc>
          <w:tcPr>
            <w:tcW w:type="dxa" w:w="3537"/>
          </w:tcPr>
          <w:p>
            <w:pPr>
              <w:spacing w:after="0"/>
              <w:jc w:val="left"/>
            </w:pPr>
            <w:r/>
            <w:r>
              <w:rPr>
                <w:rFonts w:ascii="Calibri" w:hAnsi="Calibri"/>
                <w:b w:val="0"/>
                <w:color w:val="1A1A1A"/>
                <w:sz w:val="24"/>
              </w:rPr>
              <w:t>Plano de Conteúdo para o Instagram do CRO-MG</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16</w:t>
            </w:r>
          </w:p>
        </w:tc>
        <w:tc>
          <w:tcPr>
            <w:tcW w:type="dxa" w:w="3537"/>
            <w:shd w:val="clear" w:color="auto" w:fill="F2F5F8"/>
          </w:tcPr>
          <w:p>
            <w:pPr>
              <w:spacing w:after="0"/>
              <w:jc w:val="left"/>
            </w:pPr>
            <w:r/>
            <w:r>
              <w:rPr>
                <w:rFonts w:ascii="Calibri" w:hAnsi="Calibri"/>
                <w:b w:val="0"/>
                <w:color w:val="1A1A1A"/>
                <w:sz w:val="24"/>
              </w:rPr>
              <w:t>Proposta HOF Segura Digital</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17</w:t>
            </w:r>
          </w:p>
        </w:tc>
        <w:tc>
          <w:tcPr>
            <w:tcW w:type="dxa" w:w="3537"/>
          </w:tcPr>
          <w:p>
            <w:pPr>
              <w:spacing w:after="0"/>
              <w:jc w:val="left"/>
            </w:pPr>
            <w:r/>
            <w:r>
              <w:rPr>
                <w:rFonts w:ascii="Calibri" w:hAnsi="Calibri"/>
                <w:b w:val="0"/>
                <w:color w:val="1A1A1A"/>
                <w:sz w:val="24"/>
              </w:rPr>
              <w:t>Pacote de Comunicação HOF Segura</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18</w:t>
            </w:r>
          </w:p>
        </w:tc>
        <w:tc>
          <w:tcPr>
            <w:tcW w:type="dxa" w:w="3537"/>
            <w:shd w:val="clear" w:color="auto" w:fill="F2F5F8"/>
          </w:tcPr>
          <w:p>
            <w:pPr>
              <w:spacing w:after="0"/>
              <w:jc w:val="left"/>
            </w:pPr>
            <w:r/>
            <w:r>
              <w:rPr>
                <w:rFonts w:ascii="Calibri" w:hAnsi="Calibri"/>
                <w:b w:val="0"/>
                <w:color w:val="1A1A1A"/>
                <w:sz w:val="24"/>
              </w:rPr>
              <w:t>Modelos de Termo de Consentimento</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19</w:t>
            </w:r>
          </w:p>
        </w:tc>
        <w:tc>
          <w:tcPr>
            <w:tcW w:type="dxa" w:w="3537"/>
          </w:tcPr>
          <w:p>
            <w:pPr>
              <w:spacing w:after="0"/>
              <w:jc w:val="left"/>
            </w:pPr>
            <w:r/>
            <w:r>
              <w:rPr>
                <w:rFonts w:ascii="Calibri" w:hAnsi="Calibri"/>
                <w:b w:val="0"/>
                <w:color w:val="1A1A1A"/>
                <w:sz w:val="24"/>
              </w:rPr>
              <w:t>Instrumentos Operacionais do Serviço</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20</w:t>
            </w:r>
          </w:p>
        </w:tc>
        <w:tc>
          <w:tcPr>
            <w:tcW w:type="dxa" w:w="3537"/>
            <w:shd w:val="clear" w:color="auto" w:fill="F2F5F8"/>
          </w:tcPr>
          <w:p>
            <w:pPr>
              <w:spacing w:after="0"/>
              <w:jc w:val="left"/>
            </w:pPr>
            <w:r/>
            <w:r>
              <w:rPr>
                <w:rFonts w:ascii="Calibri" w:hAnsi="Calibri"/>
                <w:b w:val="0"/>
                <w:color w:val="1A1A1A"/>
                <w:sz w:val="24"/>
              </w:rPr>
              <w:t>Caderno de POPs Completo</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21</w:t>
            </w:r>
          </w:p>
        </w:tc>
        <w:tc>
          <w:tcPr>
            <w:tcW w:type="dxa" w:w="3537"/>
          </w:tcPr>
          <w:p>
            <w:pPr>
              <w:spacing w:after="0"/>
              <w:jc w:val="left"/>
            </w:pPr>
            <w:r/>
            <w:r>
              <w:rPr>
                <w:rFonts w:ascii="Calibri" w:hAnsi="Calibri"/>
                <w:b w:val="0"/>
                <w:color w:val="1A1A1A"/>
                <w:sz w:val="24"/>
              </w:rPr>
              <w:t>Cartões de Consulta Rápida</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22</w:t>
            </w:r>
          </w:p>
        </w:tc>
        <w:tc>
          <w:tcPr>
            <w:tcW w:type="dxa" w:w="3537"/>
            <w:shd w:val="clear" w:color="auto" w:fill="F2F5F8"/>
          </w:tcPr>
          <w:p>
            <w:pPr>
              <w:spacing w:after="0"/>
              <w:jc w:val="left"/>
            </w:pPr>
            <w:r/>
            <w:r>
              <w:rPr>
                <w:rFonts w:ascii="Calibri" w:hAnsi="Calibri"/>
                <w:b w:val="0"/>
                <w:color w:val="1A1A1A"/>
                <w:sz w:val="24"/>
              </w:rPr>
              <w:t>Guia de Implantação no Serviço</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23</w:t>
            </w:r>
          </w:p>
        </w:tc>
        <w:tc>
          <w:tcPr>
            <w:tcW w:type="dxa" w:w="3537"/>
          </w:tcPr>
          <w:p>
            <w:pPr>
              <w:spacing w:after="0"/>
              <w:jc w:val="left"/>
            </w:pPr>
            <w:r/>
            <w:r>
              <w:rPr>
                <w:rFonts w:ascii="Calibri" w:hAnsi="Calibri"/>
                <w:b w:val="0"/>
                <w:color w:val="1A1A1A"/>
                <w:sz w:val="24"/>
              </w:rPr>
              <w:t>Relatório de Prestação de Contas do Ciclo</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24</w:t>
            </w:r>
          </w:p>
        </w:tc>
        <w:tc>
          <w:tcPr>
            <w:tcW w:type="dxa" w:w="3537"/>
            <w:shd w:val="clear" w:color="auto" w:fill="F2F5F8"/>
          </w:tcPr>
          <w:p>
            <w:pPr>
              <w:spacing w:after="0"/>
              <w:jc w:val="left"/>
            </w:pPr>
            <w:r/>
            <w:r>
              <w:rPr>
                <w:rFonts w:ascii="Calibri" w:hAnsi="Calibri"/>
                <w:b w:val="0"/>
                <w:color w:val="1A1A1A"/>
                <w:sz w:val="24"/>
              </w:rPr>
              <w:t>Caderno de Atas e Controle de Reuniões</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25</w:t>
            </w:r>
          </w:p>
        </w:tc>
        <w:tc>
          <w:tcPr>
            <w:tcW w:type="dxa" w:w="3537"/>
          </w:tcPr>
          <w:p>
            <w:pPr>
              <w:spacing w:after="0"/>
              <w:jc w:val="left"/>
            </w:pPr>
            <w:r/>
            <w:r>
              <w:rPr>
                <w:rFonts w:ascii="Calibri" w:hAnsi="Calibri"/>
                <w:b w:val="0"/>
                <w:color w:val="1A1A1A"/>
                <w:sz w:val="24"/>
              </w:rPr>
              <w:t>Dossiê de Submissão à Diretoria Executiva</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26</w:t>
            </w:r>
          </w:p>
        </w:tc>
        <w:tc>
          <w:tcPr>
            <w:tcW w:type="dxa" w:w="3537"/>
            <w:shd w:val="clear" w:color="auto" w:fill="F2F5F8"/>
          </w:tcPr>
          <w:p>
            <w:pPr>
              <w:spacing w:after="0"/>
              <w:jc w:val="left"/>
            </w:pPr>
            <w:r/>
            <w:r>
              <w:rPr>
                <w:rFonts w:ascii="Calibri" w:hAnsi="Calibri"/>
                <w:b w:val="0"/>
                <w:color w:val="1A1A1A"/>
                <w:sz w:val="24"/>
              </w:rPr>
              <w:t>Plano do Fórum de Tecnologias Emergentes</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27</w:t>
            </w:r>
          </w:p>
        </w:tc>
        <w:tc>
          <w:tcPr>
            <w:tcW w:type="dxa" w:w="3537"/>
          </w:tcPr>
          <w:p>
            <w:pPr>
              <w:spacing w:after="0"/>
              <w:jc w:val="left"/>
            </w:pPr>
            <w:r/>
            <w:r>
              <w:rPr>
                <w:rFonts w:ascii="Calibri" w:hAnsi="Calibri"/>
                <w:b w:val="0"/>
                <w:color w:val="1A1A1A"/>
                <w:sz w:val="24"/>
              </w:rPr>
              <w:t>Nota Técnica sobre Conformidade Regulatória</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28</w:t>
            </w:r>
          </w:p>
        </w:tc>
        <w:tc>
          <w:tcPr>
            <w:tcW w:type="dxa" w:w="3537"/>
            <w:shd w:val="clear" w:color="auto" w:fill="F2F5F8"/>
          </w:tcPr>
          <w:p>
            <w:pPr>
              <w:spacing w:after="0"/>
              <w:jc w:val="left"/>
            </w:pPr>
            <w:r/>
            <w:r>
              <w:rPr>
                <w:rFonts w:ascii="Calibri" w:hAnsi="Calibri"/>
                <w:b w:val="0"/>
                <w:color w:val="1A1A1A"/>
                <w:sz w:val="24"/>
              </w:rPr>
              <w:t>Comunicado sobre Uso Fora da Indicação Aprovada</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29</w:t>
            </w:r>
          </w:p>
        </w:tc>
        <w:tc>
          <w:tcPr>
            <w:tcW w:type="dxa" w:w="3537"/>
          </w:tcPr>
          <w:p>
            <w:pPr>
              <w:spacing w:after="0"/>
              <w:jc w:val="left"/>
            </w:pPr>
            <w:r/>
            <w:r>
              <w:rPr>
                <w:rFonts w:ascii="Calibri" w:hAnsi="Calibri"/>
                <w:b w:val="0"/>
                <w:color w:val="1A1A1A"/>
                <w:sz w:val="24"/>
              </w:rPr>
              <w:t>Roteiros e Relatórios de Simulação</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r>
        <w:trPr>
          <w:cantSplit/>
        </w:trPr>
        <w:tc>
          <w:tcPr>
            <w:tcW w:type="dxa" w:w="694"/>
            <w:shd w:val="clear" w:color="auto" w:fill="F2F5F8"/>
          </w:tcPr>
          <w:p>
            <w:pPr>
              <w:spacing w:after="0"/>
              <w:jc w:val="left"/>
            </w:pPr>
            <w:r/>
            <w:r>
              <w:rPr>
                <w:rFonts w:ascii="Calibri" w:hAnsi="Calibri"/>
                <w:b w:val="0"/>
                <w:color w:val="1A1A1A"/>
                <w:sz w:val="24"/>
              </w:rPr>
              <w:t>30</w:t>
            </w:r>
          </w:p>
        </w:tc>
        <w:tc>
          <w:tcPr>
            <w:tcW w:type="dxa" w:w="3537"/>
            <w:shd w:val="clear" w:color="auto" w:fill="F2F5F8"/>
          </w:tcPr>
          <w:p>
            <w:pPr>
              <w:spacing w:after="0"/>
              <w:jc w:val="left"/>
            </w:pPr>
            <w:r/>
            <w:r>
              <w:rPr>
                <w:rFonts w:ascii="Calibri" w:hAnsi="Calibri"/>
                <w:b w:val="0"/>
                <w:color w:val="1A1A1A"/>
                <w:sz w:val="24"/>
              </w:rPr>
              <w:t>Política de IA e Proteção de Dados</w:t>
            </w:r>
          </w:p>
        </w:tc>
        <w:tc>
          <w:tcPr>
            <w:tcW w:type="dxa" w:w="2240"/>
            <w:shd w:val="clear" w:color="auto" w:fill="F2F5F8"/>
          </w:tcPr>
          <w:p>
            <w:pPr>
              <w:spacing w:after="0"/>
              <w:jc w:val="left"/>
            </w:pPr>
            <w:r/>
            <w:r>
              <w:rPr>
                <w:rFonts w:ascii="Calibri" w:hAnsi="Calibri"/>
                <w:b w:val="0"/>
                <w:color w:val="1A1A1A"/>
                <w:sz w:val="24"/>
              </w:rPr>
              <w:t>Consolidado</w:t>
            </w:r>
          </w:p>
        </w:tc>
        <w:tc>
          <w:tcPr>
            <w:tcW w:type="dxa" w:w="2601"/>
            <w:shd w:val="clear" w:color="auto" w:fill="F2F5F8"/>
          </w:tcPr>
          <w:p>
            <w:pPr>
              <w:spacing w:after="0"/>
              <w:jc w:val="left"/>
            </w:pPr>
            <w:r/>
            <w:r>
              <w:rPr>
                <w:rFonts w:ascii="Calibri" w:hAnsi="Calibri"/>
                <w:b w:val="0"/>
                <w:color w:val="1A1A1A"/>
                <w:sz w:val="24"/>
              </w:rPr>
              <w:t>Validação institucional</w:t>
            </w:r>
          </w:p>
        </w:tc>
      </w:tr>
      <w:tr>
        <w:trPr>
          <w:cantSplit/>
        </w:trPr>
        <w:tc>
          <w:tcPr>
            <w:tcW w:type="dxa" w:w="694"/>
          </w:tcPr>
          <w:p>
            <w:pPr>
              <w:spacing w:after="0"/>
              <w:jc w:val="left"/>
            </w:pPr>
            <w:r/>
            <w:r>
              <w:rPr>
                <w:rFonts w:ascii="Calibri" w:hAnsi="Calibri"/>
                <w:b w:val="0"/>
                <w:color w:val="1A1A1A"/>
                <w:sz w:val="24"/>
              </w:rPr>
              <w:t>31</w:t>
            </w:r>
          </w:p>
        </w:tc>
        <w:tc>
          <w:tcPr>
            <w:tcW w:type="dxa" w:w="3537"/>
          </w:tcPr>
          <w:p>
            <w:pPr>
              <w:spacing w:after="0"/>
              <w:jc w:val="left"/>
            </w:pPr>
            <w:r/>
            <w:r>
              <w:rPr>
                <w:rFonts w:ascii="Calibri" w:hAnsi="Calibri"/>
                <w:b w:val="0"/>
                <w:color w:val="1A1A1A"/>
                <w:sz w:val="24"/>
              </w:rPr>
              <w:t>Carrossel Institucional HOF Segura</w:t>
            </w:r>
          </w:p>
        </w:tc>
        <w:tc>
          <w:tcPr>
            <w:tcW w:type="dxa" w:w="2240"/>
          </w:tcPr>
          <w:p>
            <w:pPr>
              <w:spacing w:after="0"/>
              <w:jc w:val="left"/>
            </w:pPr>
            <w:r/>
            <w:r>
              <w:rPr>
                <w:rFonts w:ascii="Calibri" w:hAnsi="Calibri"/>
                <w:b w:val="0"/>
                <w:color w:val="1A1A1A"/>
                <w:sz w:val="24"/>
              </w:rPr>
              <w:t>Consolidado</w:t>
            </w:r>
          </w:p>
        </w:tc>
        <w:tc>
          <w:tcPr>
            <w:tcW w:type="dxa" w:w="2601"/>
          </w:tcPr>
          <w:p>
            <w:pPr>
              <w:spacing w:after="0"/>
              <w:jc w:val="left"/>
            </w:pPr>
            <w:r/>
            <w:r>
              <w:rPr>
                <w:rFonts w:ascii="Calibri" w:hAnsi="Calibri"/>
                <w:b w:val="0"/>
                <w:color w:val="1A1A1A"/>
                <w:sz w:val="24"/>
              </w:rPr>
              <w:t>Validação institucional</w:t>
            </w:r>
          </w:p>
        </w:tc>
      </w:tr>
    </w:tbl>
    <w:p>
      <w:pPr>
        <w:keepNext/>
        <w:spacing w:before="360" w:after="160"/>
        <w:jc w:val="left"/>
        <w:pBdr>
          <w:bottom w:val="single" w:sz="8" w:space="4" w:color="143C64"/>
        </w:pBdr>
      </w:pPr>
      <w:r>
        <w:rPr>
          <w:rFonts w:ascii="Calibri" w:hAnsi="Calibri"/>
          <w:b/>
          <w:color w:val="143C64"/>
          <w:sz w:val="30"/>
        </w:rPr>
        <w:t>7  Situações contenciosas registradas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conexa, verificado em 25 de agosto de 2026</w:t>
            </w:r>
          </w:p>
          <w:p>
            <w:pPr>
              <w:spacing w:after="0"/>
              <w:jc w:val="both"/>
            </w:pPr>
            <w:r>
              <w:rPr>
                <w:rFonts w:ascii="Calibri" w:hAnsi="Calibri"/>
                <w:color w:val="1A1A1A"/>
                <w:sz w:val="24"/>
              </w:rPr>
              <w:t>Em 6 de agosto de 2026, a 3ª Vara Federal Cível da Seção Judiciária do Distrito Federal deferiu liminar na Ação Civil Pública nº 1084782-29.2026.4.01.3400, ajuizada pelo Conselho Federal de Medicina, pela Associação Médica Brasileira e pela Sociedade Brasileira de Anestesiologia, suspendendo parcialmente a Resolução CFO nº 295/2026. Conforme as fontes consultadas, a decisão suspendeu os dispositivos que autorizam, regulamentam ou viabilizam a realização de sedação profunda por cirurgiões-dentistas, e vedou ao CFO conceder ou registrar a habilitação correspondente e reconhecer cursos com essa finalidade, tendo o magistrado assentado, em análise preliminar, que a sedação profunda é atividade privativa do médico nos termos da Lei nº 12.842/2013. Registra-se por dever de atualidade, e não como posição do Núcleo sobre o mérito, matéria estranha à sua competência técnica. Consequência operacional para este pacote: nenhum documento do Núcleo 5 pressupõe sedação profunda como recurso disponível, e os POPs e o fluxograma trabalham com medidas de suporte compatíveis com a capacitação do profissional e com o regime jurídico vigente na data desta versão.</w:t>
            </w:r>
          </w:p>
        </w:tc>
      </w:tr>
    </w:tbl>
    <w:p>
      <w:pPr>
        <w:spacing w:after="80"/>
      </w:pPr>
    </w:p>
    <w:p>
      <w:pPr>
        <w:keepNext/>
        <w:spacing w:before="360" w:after="160"/>
        <w:jc w:val="left"/>
        <w:pBdr>
          <w:bottom w:val="single" w:sz="8" w:space="4" w:color="143C64"/>
        </w:pBdr>
      </w:pPr>
      <w:r>
        <w:rPr>
          <w:rFonts w:ascii="Calibri" w:hAnsi="Calibri"/>
          <w:b/>
          <w:color w:val="143C64"/>
          <w:sz w:val="30"/>
        </w:rPr>
        <w:t>8  Recomendações da auditoria</w:t>
      </w:r>
    </w:p>
    <w:p>
      <w:pPr>
        <w:pStyle w:val="ListNumber"/>
        <w:spacing w:after="60"/>
        <w:ind w:left="397"/>
        <w:jc w:val="both"/>
      </w:pPr>
      <w:r>
        <w:rPr>
          <w:rFonts w:ascii="Calibri" w:hAnsi="Calibri"/>
          <w:color w:val="1A1A1A"/>
          <w:sz w:val="24"/>
        </w:rPr>
        <w:t>Submeter o pacote à deliberação do colegiado utilizando o documento 14 como folha de registro.</w:t>
      </w:r>
    </w:p>
    <w:p>
      <w:pPr>
        <w:pStyle w:val="ListNumber"/>
        <w:spacing w:after="60"/>
        <w:ind w:left="397"/>
        <w:jc w:val="both"/>
      </w:pPr>
      <w:r>
        <w:rPr>
          <w:rFonts w:ascii="Calibri" w:hAnsi="Calibri"/>
          <w:color w:val="1A1A1A"/>
          <w:sz w:val="24"/>
        </w:rPr>
        <w:t>Documentar a consulta ao sistema oficial de atos do CFO, com data e responsável, encerrando a pendência da seção 5.</w:t>
      </w:r>
    </w:p>
    <w:p>
      <w:pPr>
        <w:pStyle w:val="ListNumber"/>
        <w:spacing w:after="60"/>
        <w:ind w:left="397"/>
        <w:jc w:val="both"/>
      </w:pPr>
      <w:r>
        <w:rPr>
          <w:rFonts w:ascii="Calibri" w:hAnsi="Calibri"/>
          <w:color w:val="1A1A1A"/>
          <w:sz w:val="24"/>
        </w:rPr>
        <w:t>Encaminhar os documentos com conteúdo regulatório ou terapêutico à revisão jurídica antes de qualquer publicação externa.</w:t>
      </w:r>
    </w:p>
    <w:p>
      <w:pPr>
        <w:pStyle w:val="ListNumber"/>
        <w:spacing w:after="60"/>
        <w:ind w:left="397"/>
        <w:jc w:val="both"/>
      </w:pPr>
      <w:r>
        <w:rPr>
          <w:rFonts w:ascii="Calibri" w:hAnsi="Calibri"/>
          <w:color w:val="1A1A1A"/>
          <w:sz w:val="24"/>
        </w:rPr>
        <w:t>Definir o escopo de publicação externa e a estratégia de comunicação institucional, utilizando o documento 15 como proposta de partida.</w:t>
      </w:r>
    </w:p>
    <w:p>
      <w:pPr>
        <w:pStyle w:val="ListNumber"/>
        <w:spacing w:after="60"/>
        <w:ind w:left="397"/>
        <w:jc w:val="both"/>
      </w:pPr>
      <w:r>
        <w:rPr>
          <w:rFonts w:ascii="Calibri" w:hAnsi="Calibri"/>
          <w:color w:val="1A1A1A"/>
          <w:sz w:val="24"/>
        </w:rPr>
        <w:t>Gerar toda nova peça pelo mesmo módulo de estilo, preservando o padrão editorial verificado.</w:t>
      </w:r>
    </w:p>
    <w:p>
      <w:pPr>
        <w:pStyle w:val="ListNumber"/>
        <w:spacing w:after="60"/>
        <w:ind w:left="397"/>
        <w:jc w:val="both"/>
      </w:pPr>
      <w:r>
        <w:rPr>
          <w:rFonts w:ascii="Calibri" w:hAnsi="Calibri"/>
          <w:color w:val="1A1A1A"/>
          <w:sz w:val="24"/>
        </w:rPr>
        <w:t>Reexecutar esta auditoria antes da entrega final do ciclo, em dezembro de 2026.</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78"/>
        <w:gridCol w:w="3117"/>
        <w:gridCol w:w="3577"/>
      </w:tblGrid>
      <w:tr>
        <w:trPr>
          <w:cantSplit/>
          <w:tblHeader/>
        </w:trPr>
        <w:tc>
          <w:tcPr>
            <w:tcW w:type="dxa" w:w="2378"/>
            <w:shd w:val="clear" w:color="auto" w:fill="143C64"/>
          </w:tcPr>
          <w:p>
            <w:pPr>
              <w:spacing w:after="0"/>
              <w:jc w:val="left"/>
            </w:pPr>
            <w:r/>
            <w:r>
              <w:rPr>
                <w:rFonts w:ascii="Calibri" w:hAnsi="Calibri"/>
                <w:b/>
                <w:color w:val="FFFFFF"/>
                <w:sz w:val="24"/>
              </w:rPr>
              <w:t>Ato</w:t>
            </w:r>
          </w:p>
        </w:tc>
        <w:tc>
          <w:tcPr>
            <w:tcW w:type="dxa" w:w="3117"/>
            <w:shd w:val="clear" w:color="auto" w:fill="143C64"/>
          </w:tcPr>
          <w:p>
            <w:pPr>
              <w:spacing w:after="0"/>
              <w:jc w:val="left"/>
            </w:pPr>
            <w:r/>
            <w:r>
              <w:rPr>
                <w:rFonts w:ascii="Calibri" w:hAnsi="Calibri"/>
                <w:b/>
                <w:color w:val="FFFFFF"/>
                <w:sz w:val="24"/>
              </w:rPr>
              <w:t>Objeto</w:t>
            </w:r>
          </w:p>
        </w:tc>
        <w:tc>
          <w:tcPr>
            <w:tcW w:type="dxa" w:w="3577"/>
            <w:shd w:val="clear" w:color="auto" w:fill="143C64"/>
          </w:tcPr>
          <w:p>
            <w:pPr>
              <w:spacing w:after="0"/>
              <w:jc w:val="left"/>
            </w:pPr>
            <w:r/>
            <w:r>
              <w:rPr>
                <w:rFonts w:ascii="Calibri" w:hAnsi="Calibri"/>
                <w:b/>
                <w:color w:val="FFFFFF"/>
                <w:sz w:val="24"/>
              </w:rPr>
              <w:t>Incidência no pacote</w:t>
            </w:r>
          </w:p>
        </w:tc>
      </w:tr>
      <w:tr>
        <w:trPr>
          <w:cantSplit/>
        </w:trPr>
        <w:tc>
          <w:tcPr>
            <w:tcW w:type="dxa" w:w="2378"/>
          </w:tcPr>
          <w:p>
            <w:pPr>
              <w:spacing w:after="0"/>
              <w:jc w:val="left"/>
            </w:pPr>
            <w:r/>
            <w:r>
              <w:rPr>
                <w:rFonts w:ascii="Calibri" w:hAnsi="Calibri"/>
                <w:b w:val="0"/>
                <w:color w:val="1A1A1A"/>
                <w:sz w:val="24"/>
              </w:rPr>
              <w:t>Lei nº 5.081, de 24 de agosto de 1966</w:t>
            </w:r>
          </w:p>
        </w:tc>
        <w:tc>
          <w:tcPr>
            <w:tcW w:type="dxa" w:w="3117"/>
          </w:tcPr>
          <w:p>
            <w:pPr>
              <w:spacing w:after="0"/>
              <w:jc w:val="left"/>
            </w:pPr>
            <w:r/>
            <w:r>
              <w:rPr>
                <w:rFonts w:ascii="Calibri" w:hAnsi="Calibri"/>
                <w:b w:val="0"/>
                <w:color w:val="1A1A1A"/>
                <w:sz w:val="24"/>
              </w:rPr>
              <w:t>Regula o exercício da Odontologia no Brasil.</w:t>
            </w:r>
          </w:p>
        </w:tc>
        <w:tc>
          <w:tcPr>
            <w:tcW w:type="dxa" w:w="3577"/>
          </w:tcPr>
          <w:p>
            <w:pPr>
              <w:spacing w:after="0"/>
              <w:jc w:val="left"/>
            </w:pPr>
            <w:r/>
            <w:r>
              <w:rPr>
                <w:rFonts w:ascii="Calibri" w:hAnsi="Calibri"/>
                <w:b w:val="0"/>
                <w:color w:val="1A1A1A"/>
                <w:sz w:val="24"/>
              </w:rPr>
              <w:t>Base legal do exercício profissional.</w:t>
            </w:r>
          </w:p>
        </w:tc>
      </w:tr>
      <w:tr>
        <w:trPr>
          <w:cantSplit/>
        </w:trPr>
        <w:tc>
          <w:tcPr>
            <w:tcW w:type="dxa" w:w="2378"/>
            <w:shd w:val="clear" w:color="auto" w:fill="F2F5F8"/>
          </w:tcPr>
          <w:p>
            <w:pPr>
              <w:spacing w:after="0"/>
              <w:jc w:val="left"/>
            </w:pPr>
            <w:r/>
            <w:r>
              <w:rPr>
                <w:rFonts w:ascii="Calibri" w:hAnsi="Calibri"/>
                <w:b w:val="0"/>
                <w:color w:val="1A1A1A"/>
                <w:sz w:val="24"/>
              </w:rPr>
              <w:t>Resolução CFO nº 118/2012</w:t>
            </w:r>
          </w:p>
        </w:tc>
        <w:tc>
          <w:tcPr>
            <w:tcW w:type="dxa" w:w="3117"/>
            <w:shd w:val="clear" w:color="auto" w:fill="F2F5F8"/>
          </w:tcPr>
          <w:p>
            <w:pPr>
              <w:spacing w:after="0"/>
              <w:jc w:val="left"/>
            </w:pPr>
            <w:r/>
            <w:r>
              <w:rPr>
                <w:rFonts w:ascii="Calibri" w:hAnsi="Calibri"/>
                <w:b w:val="0"/>
                <w:color w:val="1A1A1A"/>
                <w:sz w:val="24"/>
              </w:rPr>
              <w:t>Código de Ética Odontológica.</w:t>
            </w:r>
          </w:p>
        </w:tc>
        <w:tc>
          <w:tcPr>
            <w:tcW w:type="dxa" w:w="3577"/>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378"/>
          </w:tcPr>
          <w:p>
            <w:pPr>
              <w:spacing w:after="0"/>
              <w:jc w:val="left"/>
            </w:pPr>
            <w:r/>
            <w:r>
              <w:rPr>
                <w:rFonts w:ascii="Calibri" w:hAnsi="Calibri"/>
                <w:b w:val="0"/>
                <w:color w:val="1A1A1A"/>
                <w:sz w:val="24"/>
              </w:rPr>
              <w:t>RDC Anvisa nº 1.002, de 15 de dezembro de 2025</w:t>
            </w:r>
          </w:p>
        </w:tc>
        <w:tc>
          <w:tcPr>
            <w:tcW w:type="dxa" w:w="3117"/>
          </w:tcPr>
          <w:p>
            <w:pPr>
              <w:spacing w:after="0"/>
              <w:jc w:val="left"/>
            </w:pPr>
            <w:r/>
            <w:r>
              <w:rPr>
                <w:rFonts w:ascii="Calibri" w:hAnsi="Calibri"/>
                <w:b w:val="0"/>
                <w:color w:val="1A1A1A"/>
                <w:sz w:val="24"/>
              </w:rPr>
              <w:t>Boas Práticas de Funcionamento para serviços que prestam assistência odontológica.</w:t>
            </w:r>
          </w:p>
        </w:tc>
        <w:tc>
          <w:tcPr>
            <w:tcW w:type="dxa" w:w="3577"/>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378"/>
            <w:shd w:val="clear" w:color="auto" w:fill="F2F5F8"/>
          </w:tcPr>
          <w:p>
            <w:pPr>
              <w:spacing w:after="0"/>
              <w:jc w:val="left"/>
            </w:pPr>
            <w:r/>
            <w:r>
              <w:rPr>
                <w:rFonts w:ascii="Calibri" w:hAnsi="Calibri"/>
                <w:b w:val="0"/>
                <w:color w:val="1A1A1A"/>
                <w:sz w:val="24"/>
              </w:rPr>
              <w:t>RDC Anvisa nº 63/2011</w:t>
            </w:r>
          </w:p>
        </w:tc>
        <w:tc>
          <w:tcPr>
            <w:tcW w:type="dxa" w:w="3117"/>
            <w:shd w:val="clear" w:color="auto" w:fill="F2F5F8"/>
          </w:tcPr>
          <w:p>
            <w:pPr>
              <w:spacing w:after="0"/>
              <w:jc w:val="left"/>
            </w:pPr>
            <w:r/>
            <w:r>
              <w:rPr>
                <w:rFonts w:ascii="Calibri" w:hAnsi="Calibri"/>
                <w:b w:val="0"/>
                <w:color w:val="1A1A1A"/>
                <w:sz w:val="24"/>
              </w:rPr>
              <w:t>Boas Práticas de Funcionamento para serviços de saúde.</w:t>
            </w:r>
          </w:p>
        </w:tc>
        <w:tc>
          <w:tcPr>
            <w:tcW w:type="dxa" w:w="3577"/>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378"/>
          </w:tcPr>
          <w:p>
            <w:pPr>
              <w:spacing w:after="0"/>
              <w:jc w:val="left"/>
            </w:pPr>
            <w:r/>
            <w:r>
              <w:rPr>
                <w:rFonts w:ascii="Calibri" w:hAnsi="Calibri"/>
                <w:b w:val="0"/>
                <w:color w:val="1A1A1A"/>
                <w:sz w:val="24"/>
              </w:rPr>
              <w:t>RDC Anvisa nº 509/2021</w:t>
            </w:r>
          </w:p>
        </w:tc>
        <w:tc>
          <w:tcPr>
            <w:tcW w:type="dxa" w:w="3117"/>
          </w:tcPr>
          <w:p>
            <w:pPr>
              <w:spacing w:after="0"/>
              <w:jc w:val="left"/>
            </w:pPr>
            <w:r/>
            <w:r>
              <w:rPr>
                <w:rFonts w:ascii="Calibri" w:hAnsi="Calibri"/>
                <w:b w:val="0"/>
                <w:color w:val="1A1A1A"/>
                <w:sz w:val="24"/>
              </w:rPr>
              <w:t>Gerenciamento de tecnologias em serviços de saúde.</w:t>
            </w:r>
          </w:p>
        </w:tc>
        <w:tc>
          <w:tcPr>
            <w:tcW w:type="dxa" w:w="3577"/>
          </w:tcPr>
          <w:p>
            <w:pPr>
              <w:spacing w:after="0"/>
              <w:jc w:val="left"/>
            </w:pPr>
            <w:r/>
            <w:r>
              <w:rPr>
                <w:rFonts w:ascii="Calibri" w:hAnsi="Calibri"/>
                <w:b w:val="0"/>
                <w:color w:val="1A1A1A"/>
                <w:sz w:val="24"/>
              </w:rPr>
              <w:t>Plano de gerenciamento, rastreabilidade, guarda e monitoramento.</w:t>
            </w:r>
          </w:p>
        </w:tc>
      </w:tr>
      <w:tr>
        <w:trPr>
          <w:cantSplit/>
        </w:trPr>
        <w:tc>
          <w:tcPr>
            <w:tcW w:type="dxa" w:w="2378"/>
            <w:shd w:val="clear" w:color="auto" w:fill="F2F5F8"/>
          </w:tcPr>
          <w:p>
            <w:pPr>
              <w:spacing w:after="0"/>
              <w:jc w:val="left"/>
            </w:pPr>
            <w:r/>
            <w:r>
              <w:rPr>
                <w:rFonts w:ascii="Calibri" w:hAnsi="Calibri"/>
                <w:b w:val="0"/>
                <w:color w:val="1A1A1A"/>
                <w:sz w:val="24"/>
              </w:rPr>
              <w:t>RDC Anvisa nº 751/2022</w:t>
            </w:r>
          </w:p>
        </w:tc>
        <w:tc>
          <w:tcPr>
            <w:tcW w:type="dxa" w:w="3117"/>
            <w:shd w:val="clear" w:color="auto" w:fill="F2F5F8"/>
          </w:tcPr>
          <w:p>
            <w:pPr>
              <w:spacing w:after="0"/>
              <w:jc w:val="left"/>
            </w:pPr>
            <w:r/>
            <w:r>
              <w:rPr>
                <w:rFonts w:ascii="Calibri" w:hAnsi="Calibri"/>
                <w:b w:val="0"/>
                <w:color w:val="1A1A1A"/>
                <w:sz w:val="24"/>
              </w:rPr>
              <w:t>Dispositivos médicos: classificação e regularização.</w:t>
            </w:r>
          </w:p>
        </w:tc>
        <w:tc>
          <w:tcPr>
            <w:tcW w:type="dxa" w:w="3577"/>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378"/>
          </w:tcPr>
          <w:p>
            <w:pPr>
              <w:spacing w:after="0"/>
              <w:jc w:val="left"/>
            </w:pPr>
            <w:r/>
            <w:r>
              <w:rPr>
                <w:rFonts w:ascii="Calibri" w:hAnsi="Calibri"/>
                <w:b w:val="0"/>
                <w:color w:val="1A1A1A"/>
                <w:sz w:val="24"/>
              </w:rPr>
              <w:t>RDC Anvisa nº 549/2021</w:t>
            </w:r>
          </w:p>
        </w:tc>
        <w:tc>
          <w:tcPr>
            <w:tcW w:type="dxa" w:w="3117"/>
          </w:tcPr>
          <w:p>
            <w:pPr>
              <w:spacing w:after="0"/>
              <w:jc w:val="left"/>
            </w:pPr>
            <w:r/>
            <w:r>
              <w:rPr>
                <w:rFonts w:ascii="Calibri" w:hAnsi="Calibri"/>
                <w:b w:val="0"/>
                <w:color w:val="1A1A1A"/>
                <w:sz w:val="24"/>
              </w:rPr>
              <w:t>Certificação de conformidade de equipamentos sob regime aplicável.</w:t>
            </w:r>
          </w:p>
        </w:tc>
        <w:tc>
          <w:tcPr>
            <w:tcW w:type="dxa" w:w="3577"/>
          </w:tcPr>
          <w:p>
            <w:pPr>
              <w:spacing w:after="0"/>
              <w:jc w:val="left"/>
            </w:pPr>
            <w:r/>
            <w:r>
              <w:rPr>
                <w:rFonts w:ascii="Calibri" w:hAnsi="Calibri"/>
                <w:b w:val="0"/>
                <w:color w:val="1A1A1A"/>
                <w:sz w:val="24"/>
              </w:rPr>
              <w:t>Conformidade de equipamentos eletromédicos.</w:t>
            </w:r>
          </w:p>
        </w:tc>
      </w:tr>
      <w:tr>
        <w:trPr>
          <w:cantSplit/>
        </w:trPr>
        <w:tc>
          <w:tcPr>
            <w:tcW w:type="dxa" w:w="2378"/>
            <w:shd w:val="clear" w:color="auto" w:fill="F2F5F8"/>
          </w:tcPr>
          <w:p>
            <w:pPr>
              <w:spacing w:after="0"/>
              <w:jc w:val="left"/>
            </w:pPr>
            <w:r/>
            <w:r>
              <w:rPr>
                <w:rFonts w:ascii="Calibri" w:hAnsi="Calibri"/>
                <w:b w:val="0"/>
                <w:color w:val="1A1A1A"/>
                <w:sz w:val="24"/>
              </w:rPr>
              <w:t>Lei nº 13.709/2018</w:t>
            </w:r>
          </w:p>
        </w:tc>
        <w:tc>
          <w:tcPr>
            <w:tcW w:type="dxa" w:w="3117"/>
            <w:shd w:val="clear" w:color="auto" w:fill="F2F5F8"/>
          </w:tcPr>
          <w:p>
            <w:pPr>
              <w:spacing w:after="0"/>
              <w:jc w:val="left"/>
            </w:pPr>
            <w:r/>
            <w:r>
              <w:rPr>
                <w:rFonts w:ascii="Calibri" w:hAnsi="Calibri"/>
                <w:b w:val="0"/>
                <w:color w:val="1A1A1A"/>
                <w:sz w:val="24"/>
              </w:rPr>
              <w:t>Lei Geral de Proteção de Dados Pessoais.</w:t>
            </w:r>
          </w:p>
        </w:tc>
        <w:tc>
          <w:tcPr>
            <w:tcW w:type="dxa" w:w="3577"/>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378"/>
          </w:tcPr>
          <w:p>
            <w:pPr>
              <w:spacing w:after="0"/>
              <w:jc w:val="left"/>
            </w:pPr>
            <w:r/>
            <w:r>
              <w:rPr>
                <w:rFonts w:ascii="Calibri" w:hAnsi="Calibri"/>
                <w:b w:val="0"/>
                <w:color w:val="1A1A1A"/>
                <w:sz w:val="24"/>
              </w:rPr>
              <w:t>Lei nº 15.378, de 6 de abril de 2026</w:t>
            </w:r>
          </w:p>
        </w:tc>
        <w:tc>
          <w:tcPr>
            <w:tcW w:type="dxa" w:w="3117"/>
          </w:tcPr>
          <w:p>
            <w:pPr>
              <w:spacing w:after="0"/>
              <w:jc w:val="left"/>
            </w:pPr>
            <w:r/>
            <w:r>
              <w:rPr>
                <w:rFonts w:ascii="Calibri" w:hAnsi="Calibri"/>
                <w:b w:val="0"/>
                <w:color w:val="1A1A1A"/>
                <w:sz w:val="24"/>
              </w:rPr>
              <w:t>Institui o Estatuto dos Direitos do Paciente.</w:t>
            </w:r>
          </w:p>
        </w:tc>
        <w:tc>
          <w:tcPr>
            <w:tcW w:type="dxa" w:w="3577"/>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378"/>
            <w:shd w:val="clear" w:color="auto" w:fill="F2F5F8"/>
          </w:tcPr>
          <w:p>
            <w:pPr>
              <w:spacing w:after="0"/>
              <w:jc w:val="left"/>
            </w:pPr>
            <w:r/>
            <w:r>
              <w:rPr>
                <w:rFonts w:ascii="Calibri" w:hAnsi="Calibri"/>
                <w:b w:val="0"/>
                <w:color w:val="1A1A1A"/>
                <w:sz w:val="24"/>
              </w:rPr>
              <w:t>Lei nº 12.842/2013</w:t>
            </w:r>
          </w:p>
        </w:tc>
        <w:tc>
          <w:tcPr>
            <w:tcW w:type="dxa" w:w="3117"/>
            <w:shd w:val="clear" w:color="auto" w:fill="F2F5F8"/>
          </w:tcPr>
          <w:p>
            <w:pPr>
              <w:spacing w:after="0"/>
              <w:jc w:val="left"/>
            </w:pPr>
            <w:r/>
            <w:r>
              <w:rPr>
                <w:rFonts w:ascii="Calibri" w:hAnsi="Calibri"/>
                <w:b w:val="0"/>
                <w:color w:val="1A1A1A"/>
                <w:sz w:val="24"/>
              </w:rPr>
              <w:t>Lei do Ato Médico.</w:t>
            </w:r>
          </w:p>
        </w:tc>
        <w:tc>
          <w:tcPr>
            <w:tcW w:type="dxa" w:w="3577"/>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378"/>
          </w:tcPr>
          <w:p>
            <w:pPr>
              <w:spacing w:after="0"/>
              <w:jc w:val="left"/>
            </w:pPr>
            <w:r/>
            <w:r>
              <w:rPr>
                <w:rFonts w:ascii="Calibri" w:hAnsi="Calibri"/>
                <w:b w:val="0"/>
                <w:color w:val="1A1A1A"/>
                <w:sz w:val="24"/>
              </w:rPr>
              <w:t>Portaria CRO-MG nº 190/2026</w:t>
            </w:r>
          </w:p>
        </w:tc>
        <w:tc>
          <w:tcPr>
            <w:tcW w:type="dxa" w:w="3117"/>
          </w:tcPr>
          <w:p>
            <w:pPr>
              <w:spacing w:after="0"/>
              <w:jc w:val="left"/>
            </w:pPr>
            <w:r/>
            <w:r>
              <w:rPr>
                <w:rFonts w:ascii="Calibri" w:hAnsi="Calibri"/>
                <w:b w:val="0"/>
                <w:color w:val="1A1A1A"/>
                <w:sz w:val="24"/>
              </w:rPr>
              <w:t>Constitui a Câmara Técnica de HOF e seus Núcleos.</w:t>
            </w:r>
          </w:p>
        </w:tc>
        <w:tc>
          <w:tcPr>
            <w:tcW w:type="dxa" w:w="3577"/>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45"/>
        <w:gridCol w:w="2255"/>
        <w:gridCol w:w="3073"/>
      </w:tblGrid>
      <w:tr>
        <w:trPr>
          <w:cantSplit/>
          <w:tblHeader/>
        </w:trPr>
        <w:tc>
          <w:tcPr>
            <w:tcW w:type="dxa" w:w="3745"/>
            <w:shd w:val="clear" w:color="auto" w:fill="143C64"/>
          </w:tcPr>
          <w:p>
            <w:pPr>
              <w:spacing w:after="0"/>
              <w:jc w:val="left"/>
            </w:pPr>
            <w:r/>
            <w:r>
              <w:rPr>
                <w:rFonts w:ascii="Calibri" w:hAnsi="Calibri"/>
                <w:b/>
                <w:color w:val="FFFFFF"/>
                <w:sz w:val="24"/>
              </w:rPr>
              <w:t>Referência</w:t>
            </w:r>
          </w:p>
        </w:tc>
        <w:tc>
          <w:tcPr>
            <w:tcW w:type="dxa" w:w="2255"/>
            <w:shd w:val="clear" w:color="auto" w:fill="143C64"/>
          </w:tcPr>
          <w:p>
            <w:pPr>
              <w:spacing w:after="0"/>
              <w:jc w:val="left"/>
            </w:pPr>
            <w:r/>
            <w:r>
              <w:rPr>
                <w:rFonts w:ascii="Calibri" w:hAnsi="Calibri"/>
                <w:b/>
                <w:color w:val="FFFFFF"/>
                <w:sz w:val="24"/>
              </w:rPr>
              <w:t>Desenho</w:t>
            </w:r>
          </w:p>
        </w:tc>
        <w:tc>
          <w:tcPr>
            <w:tcW w:type="dxa" w:w="3073"/>
            <w:shd w:val="clear" w:color="auto" w:fill="143C64"/>
          </w:tcPr>
          <w:p>
            <w:pPr>
              <w:spacing w:after="0"/>
              <w:jc w:val="left"/>
            </w:pPr>
            <w:r/>
            <w:r>
              <w:rPr>
                <w:rFonts w:ascii="Calibri" w:hAnsi="Calibri"/>
                <w:b/>
                <w:color w:val="FFFFFF"/>
                <w:sz w:val="24"/>
              </w:rPr>
              <w:t>Identificadores e verificação</w:t>
            </w:r>
          </w:p>
        </w:tc>
      </w:tr>
      <w:tr>
        <w:trPr>
          <w:cantSplit/>
        </w:trPr>
        <w:tc>
          <w:tcPr>
            <w:tcW w:type="dxa" w:w="3745"/>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255"/>
          </w:tcPr>
          <w:p>
            <w:pPr>
              <w:spacing w:after="0"/>
              <w:jc w:val="left"/>
            </w:pPr>
            <w:r/>
            <w:r>
              <w:rPr>
                <w:rFonts w:ascii="Calibri" w:hAnsi="Calibri"/>
                <w:b w:val="0"/>
                <w:color w:val="1A1A1A"/>
                <w:sz w:val="24"/>
              </w:rPr>
              <w:t>Revisão sistemática</w:t>
            </w:r>
          </w:p>
        </w:tc>
        <w:tc>
          <w:tcPr>
            <w:tcW w:type="dxa" w:w="307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255"/>
            <w:shd w:val="clear" w:color="auto" w:fill="F2F5F8"/>
          </w:tcPr>
          <w:p>
            <w:pPr>
              <w:spacing w:after="0"/>
              <w:jc w:val="left"/>
            </w:pPr>
            <w:r/>
            <w:r>
              <w:rPr>
                <w:rFonts w:ascii="Calibri" w:hAnsi="Calibri"/>
                <w:b w:val="0"/>
                <w:color w:val="1A1A1A"/>
                <w:sz w:val="24"/>
              </w:rPr>
              <w:t>Revisão (35 artigos, PRISMA 2020)</w:t>
            </w:r>
          </w:p>
        </w:tc>
        <w:tc>
          <w:tcPr>
            <w:tcW w:type="dxa" w:w="307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255"/>
          </w:tcPr>
          <w:p>
            <w:pPr>
              <w:spacing w:after="0"/>
              <w:jc w:val="left"/>
            </w:pPr>
            <w:r/>
            <w:r>
              <w:rPr>
                <w:rFonts w:ascii="Calibri" w:hAnsi="Calibri"/>
                <w:b w:val="0"/>
                <w:color w:val="1A1A1A"/>
                <w:sz w:val="24"/>
              </w:rPr>
              <w:t>Revisão</w:t>
            </w:r>
          </w:p>
        </w:tc>
        <w:tc>
          <w:tcPr>
            <w:tcW w:type="dxa" w:w="307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745"/>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255"/>
            <w:shd w:val="clear" w:color="auto" w:fill="F2F5F8"/>
          </w:tcPr>
          <w:p>
            <w:pPr>
              <w:spacing w:after="0"/>
              <w:jc w:val="left"/>
            </w:pPr>
            <w:r/>
            <w:r>
              <w:rPr>
                <w:rFonts w:ascii="Calibri" w:hAnsi="Calibri"/>
                <w:b w:val="0"/>
                <w:color w:val="1A1A1A"/>
                <w:sz w:val="24"/>
              </w:rPr>
              <w:t>Estudo transversal, 57 participantes</w:t>
            </w:r>
          </w:p>
        </w:tc>
        <w:tc>
          <w:tcPr>
            <w:tcW w:type="dxa" w:w="307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745"/>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255"/>
          </w:tcPr>
          <w:p>
            <w:pPr>
              <w:spacing w:after="0"/>
              <w:jc w:val="left"/>
            </w:pPr>
            <w:r/>
            <w:r>
              <w:rPr>
                <w:rFonts w:ascii="Calibri" w:hAnsi="Calibri"/>
                <w:b w:val="0"/>
                <w:color w:val="1A1A1A"/>
                <w:sz w:val="24"/>
              </w:rPr>
              <w:t>Revisão sistemática (29 de 1.832 registros)</w:t>
            </w:r>
          </w:p>
        </w:tc>
        <w:tc>
          <w:tcPr>
            <w:tcW w:type="dxa" w:w="307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N5-AUD-01 · Relatório de Auditoria Técnica · versão 2.1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N5-AUD-01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