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360" w:after="160"/>
        <w:jc w:val="left"/>
        <w:pBdr>
          <w:bottom w:val="single" w:sz="8" w:space="4" w:color="143C64"/>
        </w:pBdr>
      </w:pPr>
      <w:r>
        <w:rPr>
          <w:rFonts w:ascii="Calibri" w:hAnsi="Calibri"/>
          <w:b/>
          <w:color w:val="143C64"/>
          <w:sz w:val="30"/>
        </w:rPr>
        <w:t>POP-N5-13  Rastreabilidade de produtos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81"/>
        <w:gridCol w:w="5491"/>
      </w:tblGrid>
      <w:tr>
        <w:trPr>
          <w:cantSplit/>
          <w:tblHeader/>
        </w:trPr>
        <w:tc>
          <w:tcPr>
            <w:tcW w:type="dxa" w:w="3581"/>
            <w:shd w:val="clear" w:color="auto" w:fill="143C64"/>
          </w:tcPr>
          <w:p>
            <w:pPr>
              <w:spacing w:after="0"/>
              <w:jc w:val="left"/>
            </w:pPr>
            <w:r/>
            <w:r>
              <w:rPr>
                <w:rFonts w:ascii="Calibri" w:hAnsi="Calibri"/>
                <w:b/>
                <w:color w:val="FFFFFF"/>
                <w:sz w:val="24"/>
              </w:rPr>
              <w:t>Campo</w:t>
            </w:r>
          </w:p>
        </w:tc>
        <w:tc>
          <w:tcPr>
            <w:tcW w:type="dxa" w:w="5491"/>
            <w:shd w:val="clear" w:color="auto" w:fill="143C64"/>
          </w:tcPr>
          <w:p>
            <w:pPr>
              <w:spacing w:after="0"/>
              <w:jc w:val="left"/>
            </w:pPr>
            <w:r/>
            <w:r>
              <w:rPr>
                <w:rFonts w:ascii="Calibri" w:hAnsi="Calibri"/>
                <w:b/>
                <w:color w:val="FFFFFF"/>
                <w:sz w:val="24"/>
              </w:rPr>
              <w:t>Conteúdo</w:t>
            </w:r>
          </w:p>
        </w:tc>
      </w:tr>
      <w:tr>
        <w:trPr>
          <w:cantSplit/>
        </w:trPr>
        <w:tc>
          <w:tcPr>
            <w:tcW w:type="dxa" w:w="3581"/>
          </w:tcPr>
          <w:p>
            <w:pPr>
              <w:spacing w:after="0"/>
              <w:jc w:val="left"/>
            </w:pPr>
            <w:r/>
            <w:r>
              <w:rPr>
                <w:rFonts w:ascii="Calibri" w:hAnsi="Calibri"/>
                <w:b/>
                <w:color w:val="1A1A1A"/>
                <w:sz w:val="24"/>
              </w:rPr>
              <w:t>1. Identificação</w:t>
            </w:r>
          </w:p>
        </w:tc>
        <w:tc>
          <w:tcPr>
            <w:tcW w:type="dxa" w:w="5491"/>
          </w:tcPr>
          <w:p>
            <w:pPr>
              <w:spacing w:after="0"/>
              <w:jc w:val="left"/>
            </w:pPr>
            <w:r/>
            <w:r>
              <w:rPr>
                <w:rFonts w:ascii="Calibri" w:hAnsi="Calibri"/>
                <w:b w:val="0"/>
                <w:color w:val="1A1A1A"/>
                <w:sz w:val="24"/>
              </w:rPr>
              <w:t>Código POP-N5-13. Versão 1.0. Emissão em 26 de agosto de 2026. Próxima revisão em até doze meses. Onda de produção 2. Situação de escopo: Livre. Responsável técnico pela redação: Campo de preenchimento pelo serviço.</w:t>
            </w:r>
          </w:p>
        </w:tc>
      </w:tr>
      <w:tr>
        <w:trPr>
          <w:cantSplit/>
        </w:trPr>
        <w:tc>
          <w:tcPr>
            <w:tcW w:type="dxa" w:w="3581"/>
            <w:shd w:val="clear" w:color="auto" w:fill="F2F5F8"/>
          </w:tcPr>
          <w:p>
            <w:pPr>
              <w:spacing w:after="0"/>
              <w:jc w:val="left"/>
            </w:pPr>
            <w:r/>
            <w:r>
              <w:rPr>
                <w:rFonts w:ascii="Calibri" w:hAnsi="Calibri"/>
                <w:b/>
                <w:color w:val="1A1A1A"/>
                <w:sz w:val="24"/>
              </w:rPr>
              <w:t>2. Objetivo e alcance</w:t>
            </w:r>
          </w:p>
        </w:tc>
        <w:tc>
          <w:tcPr>
            <w:tcW w:type="dxa" w:w="5491"/>
            <w:shd w:val="clear" w:color="auto" w:fill="F2F5F8"/>
          </w:tcPr>
          <w:p>
            <w:pPr>
              <w:spacing w:after="0"/>
              <w:jc w:val="left"/>
            </w:pPr>
            <w:r/>
            <w:r>
              <w:rPr>
                <w:rFonts w:ascii="Calibri" w:hAnsi="Calibri"/>
                <w:b w:val="0"/>
                <w:color w:val="1A1A1A"/>
                <w:sz w:val="24"/>
              </w:rPr>
              <w:t>Garantir que qualquer procedimento realizado possa ser reconstruído posteriormente quanto a produto, lote, validade, quantidade, região e responsável, sem depender da memória.</w:t>
            </w:r>
          </w:p>
        </w:tc>
      </w:tr>
      <w:tr>
        <w:trPr>
          <w:cantSplit/>
        </w:trPr>
        <w:tc>
          <w:tcPr>
            <w:tcW w:type="dxa" w:w="3581"/>
          </w:tcPr>
          <w:p>
            <w:pPr>
              <w:spacing w:after="0"/>
              <w:jc w:val="left"/>
            </w:pPr>
            <w:r/>
            <w:r>
              <w:rPr>
                <w:rFonts w:ascii="Calibri" w:hAnsi="Calibri"/>
                <w:b/>
                <w:color w:val="1A1A1A"/>
                <w:sz w:val="24"/>
              </w:rPr>
              <w:t>3. Situação regulatória</w:t>
            </w:r>
          </w:p>
        </w:tc>
        <w:tc>
          <w:tcPr>
            <w:tcW w:type="dxa" w:w="5491"/>
          </w:tcPr>
          <w:p>
            <w:pPr>
              <w:spacing w:after="0"/>
              <w:jc w:val="left"/>
            </w:pPr>
            <w:r/>
            <w:r>
              <w:rPr>
                <w:rFonts w:ascii="Calibri" w:hAnsi="Calibri"/>
                <w:b w:val="0"/>
                <w:color w:val="1A1A1A"/>
                <w:sz w:val="24"/>
              </w:rPr>
              <w:t>RDC Anvisa nº 1.002/2025 e nº 751/2022. A rastreabilidade é condição para notificação de queixa técnica e para investigação de evento adverso.</w:t>
            </w:r>
          </w:p>
        </w:tc>
      </w:tr>
      <w:tr>
        <w:trPr>
          <w:cantSplit/>
        </w:trPr>
        <w:tc>
          <w:tcPr>
            <w:tcW w:type="dxa" w:w="3581"/>
            <w:shd w:val="clear" w:color="auto" w:fill="F2F5F8"/>
          </w:tcPr>
          <w:p>
            <w:pPr>
              <w:spacing w:after="0"/>
              <w:jc w:val="left"/>
            </w:pPr>
            <w:r/>
            <w:r>
              <w:rPr>
                <w:rFonts w:ascii="Calibri" w:hAnsi="Calibri"/>
                <w:b/>
                <w:color w:val="1A1A1A"/>
                <w:sz w:val="24"/>
              </w:rPr>
              <w:t>4. Competência exigida</w:t>
            </w:r>
          </w:p>
        </w:tc>
        <w:tc>
          <w:tcPr>
            <w:tcW w:type="dxa" w:w="5491"/>
            <w:shd w:val="clear" w:color="auto" w:fill="F2F5F8"/>
          </w:tcPr>
          <w:p>
            <w:pPr>
              <w:spacing w:after="0"/>
              <w:jc w:val="left"/>
            </w:pPr>
            <w:r/>
            <w:r>
              <w:rPr>
                <w:rFonts w:ascii="Calibri" w:hAnsi="Calibri"/>
                <w:b w:val="0"/>
                <w:color w:val="1A1A1A"/>
                <w:sz w:val="24"/>
              </w:rPr>
              <w:t>Profissional executante quanto ao registro do procedimento. Responsável Técnico quanto ao controle de estoque e à política de guarda.</w:t>
            </w:r>
          </w:p>
        </w:tc>
      </w:tr>
      <w:tr>
        <w:trPr>
          <w:cantSplit/>
        </w:trPr>
        <w:tc>
          <w:tcPr>
            <w:tcW w:type="dxa" w:w="3581"/>
          </w:tcPr>
          <w:p>
            <w:pPr>
              <w:spacing w:after="0"/>
              <w:jc w:val="left"/>
            </w:pPr>
            <w:r/>
            <w:r>
              <w:rPr>
                <w:rFonts w:ascii="Calibri" w:hAnsi="Calibri"/>
                <w:b/>
                <w:color w:val="1A1A1A"/>
                <w:sz w:val="24"/>
              </w:rPr>
              <w:t>5. Materiais e equipamentos</w:t>
            </w:r>
          </w:p>
        </w:tc>
        <w:tc>
          <w:tcPr>
            <w:tcW w:type="dxa" w:w="5491"/>
          </w:tcPr>
          <w:p>
            <w:pPr>
              <w:spacing w:after="0"/>
              <w:jc w:val="left"/>
            </w:pPr>
            <w:r/>
            <w:r>
              <w:rPr>
                <w:rFonts w:ascii="Calibri" w:hAnsi="Calibri"/>
                <w:b w:val="0"/>
                <w:color w:val="1A1A1A"/>
                <w:sz w:val="24"/>
              </w:rPr>
              <w:t>Sistema ou planilha de controle de estoque; etiquetas de lote ou registro fotográfico da embalagem; prontuário.</w:t>
            </w:r>
          </w:p>
        </w:tc>
      </w:tr>
    </w:tbl>
    <w:p>
      <w:pPr>
        <w:keepNext/>
        <w:spacing w:before="240" w:after="80"/>
        <w:jc w:val="left"/>
      </w:pPr>
      <w:r>
        <w:rPr>
          <w:rFonts w:ascii="Calibri" w:hAnsi="Calibri"/>
          <w:b/>
          <w:color w:val="143C64"/>
          <w:sz w:val="26"/>
        </w:rPr>
        <w:t>6. Verificações prévias</w:t>
      </w:r>
    </w:p>
    <w:p>
      <w:pPr>
        <w:pStyle w:val="ListBullet"/>
        <w:spacing w:after="60"/>
        <w:ind w:left="397"/>
        <w:jc w:val="both"/>
      </w:pPr>
      <w:r>
        <w:rPr>
          <w:rFonts w:ascii="Calibri" w:hAnsi="Calibri"/>
          <w:color w:val="1A1A1A"/>
          <w:sz w:val="24"/>
        </w:rPr>
        <w:t>☐  Produto conferido quanto a identificação, integridade, lote e validade antes do uso.</w:t>
      </w:r>
    </w:p>
    <w:p>
      <w:pPr>
        <w:pStyle w:val="ListBullet"/>
        <w:spacing w:after="60"/>
        <w:ind w:left="397"/>
        <w:jc w:val="both"/>
      </w:pPr>
      <w:r>
        <w:rPr>
          <w:rFonts w:ascii="Calibri" w:hAnsi="Calibri"/>
          <w:color w:val="1A1A1A"/>
          <w:sz w:val="24"/>
        </w:rPr>
        <w:t>☐  Condições de armazenamento conforme rotulagem, verificadas e registradas.</w:t>
      </w:r>
    </w:p>
    <w:p>
      <w:pPr>
        <w:pStyle w:val="ListBullet"/>
        <w:spacing w:after="60"/>
        <w:ind w:left="397"/>
        <w:jc w:val="both"/>
      </w:pPr>
      <w:r>
        <w:rPr>
          <w:rFonts w:ascii="Calibri" w:hAnsi="Calibri"/>
          <w:color w:val="1A1A1A"/>
          <w:sz w:val="24"/>
        </w:rPr>
        <w:t>☐  Estoque conferido periodicamente, com identificação de itens próximos do vencimento.</w:t>
      </w:r>
    </w:p>
    <w:p>
      <w:pPr>
        <w:keepNext/>
        <w:spacing w:before="240" w:after="80"/>
        <w:jc w:val="left"/>
      </w:pPr>
      <w:r>
        <w:rPr>
          <w:rFonts w:ascii="Calibri" w:hAnsi="Calibri"/>
          <w:b/>
          <w:color w:val="143C64"/>
          <w:sz w:val="26"/>
        </w:rPr>
        <w:t>7. Execução</w:t>
      </w:r>
    </w:p>
    <w:p>
      <w:pPr>
        <w:pStyle w:val="ListNumber"/>
        <w:spacing w:after="60"/>
        <w:ind w:left="397"/>
        <w:jc w:val="both"/>
      </w:pPr>
      <w:r>
        <w:rPr>
          <w:rFonts w:ascii="Calibri" w:hAnsi="Calibri"/>
          <w:color w:val="1A1A1A"/>
          <w:sz w:val="24"/>
        </w:rPr>
        <w:t>Registrar produto, fabricante, lote e validade antes ou imediatamente após o uso.</w:t>
      </w:r>
    </w:p>
    <w:p>
      <w:pPr>
        <w:pStyle w:val="ListNumber"/>
        <w:spacing w:after="60"/>
        <w:ind w:left="397"/>
        <w:jc w:val="both"/>
      </w:pPr>
      <w:r>
        <w:rPr>
          <w:rFonts w:ascii="Calibri" w:hAnsi="Calibri"/>
          <w:color w:val="1A1A1A"/>
          <w:sz w:val="24"/>
        </w:rPr>
        <w:t>Registrar quantidade utilizada, concentração e diluição quando aplicável.</w:t>
      </w:r>
    </w:p>
    <w:p>
      <w:pPr>
        <w:pStyle w:val="ListNumber"/>
        <w:spacing w:after="60"/>
        <w:ind w:left="397"/>
        <w:jc w:val="both"/>
      </w:pPr>
      <w:r>
        <w:rPr>
          <w:rFonts w:ascii="Calibri" w:hAnsi="Calibri"/>
          <w:color w:val="1A1A1A"/>
          <w:sz w:val="24"/>
        </w:rPr>
        <w:t>Registrar região tratada, lado e técnica empregada.</w:t>
      </w:r>
    </w:p>
    <w:p>
      <w:pPr>
        <w:pStyle w:val="ListNumber"/>
        <w:spacing w:after="60"/>
        <w:ind w:left="397"/>
        <w:jc w:val="both"/>
      </w:pPr>
      <w:r>
        <w:rPr>
          <w:rFonts w:ascii="Calibri" w:hAnsi="Calibri"/>
          <w:color w:val="1A1A1A"/>
          <w:sz w:val="24"/>
        </w:rPr>
        <w:t>Preservar a etiqueta do lote no prontuário ou registrar a embalagem por fotografia.</w:t>
      </w:r>
    </w:p>
    <w:p>
      <w:pPr>
        <w:pStyle w:val="ListNumber"/>
        <w:spacing w:after="60"/>
        <w:ind w:left="397"/>
        <w:jc w:val="both"/>
      </w:pPr>
      <w:r>
        <w:rPr>
          <w:rFonts w:ascii="Calibri" w:hAnsi="Calibri"/>
          <w:color w:val="1A1A1A"/>
          <w:sz w:val="24"/>
        </w:rPr>
        <w:t>Dar baixa no controle de estoque, mantendo a correspondência entre o que saiu e o que foi registrado em prontuário.</w:t>
      </w:r>
    </w:p>
    <w:p>
      <w:pPr>
        <w:spacing w:after="120"/>
        <w:jc w:val="both"/>
      </w:pPr>
      <w:r>
        <w:rPr>
          <w:rFonts w:ascii="Calibri" w:hAnsi="Calibri"/>
          <w:b w:val="0"/>
          <w:i/>
          <w:color w:val="1A1A1A"/>
          <w:sz w:val="24"/>
        </w:rPr>
        <w:t>Parâmetros dependentes do produto ou do equipamento, incluindo dose, volume, diluição, energia e tempo de aplicação: Campo de preenchimento pelo serviço. O preenchimento deve partir das instruções de uso do fabricante, com data de consulta registrada. Este POP não fixa esses valores porque eles dependem do produto que o serviço efetivamente adotar.</w:t>
      </w:r>
    </w:p>
    <w:p>
      <w:pPr>
        <w:keepNext/>
        <w:spacing w:before="240" w:after="80"/>
        <w:jc w:val="left"/>
      </w:pPr>
      <w:r>
        <w:rPr>
          <w:rFonts w:ascii="Calibri" w:hAnsi="Calibri"/>
          <w:b/>
          <w:color w:val="143C64"/>
          <w:sz w:val="26"/>
        </w:rPr>
        <w:t>8. Sinais de alerta</w:t>
      </w:r>
    </w:p>
    <w:p>
      <w:pPr>
        <w:pStyle w:val="ListBullet"/>
        <w:spacing w:after="60"/>
        <w:ind w:left="397"/>
        <w:jc w:val="both"/>
      </w:pPr>
      <w:r>
        <w:rPr>
          <w:rFonts w:ascii="Calibri" w:hAnsi="Calibri"/>
          <w:color w:val="1A1A1A"/>
          <w:sz w:val="24"/>
        </w:rPr>
        <w:t>Divergência entre baixa de estoque e registro em prontuário.</w:t>
      </w:r>
    </w:p>
    <w:p>
      <w:pPr>
        <w:pStyle w:val="ListBullet"/>
        <w:spacing w:after="60"/>
        <w:ind w:left="397"/>
        <w:jc w:val="both"/>
      </w:pPr>
      <w:r>
        <w:rPr>
          <w:rFonts w:ascii="Calibri" w:hAnsi="Calibri"/>
          <w:color w:val="1A1A1A"/>
          <w:sz w:val="24"/>
        </w:rPr>
        <w:t>Produto sem identificação de lote legível.</w:t>
      </w:r>
    </w:p>
    <w:p>
      <w:pPr>
        <w:pStyle w:val="ListBullet"/>
        <w:spacing w:after="60"/>
        <w:ind w:left="397"/>
        <w:jc w:val="both"/>
      </w:pPr>
      <w:r>
        <w:rPr>
          <w:rFonts w:ascii="Calibri" w:hAnsi="Calibri"/>
          <w:color w:val="1A1A1A"/>
          <w:sz w:val="24"/>
        </w:rPr>
        <w:t>Condição de armazenamento fora da faixa prevista na rotulagem.</w:t>
      </w:r>
    </w:p>
    <w:p>
      <w:pPr>
        <w:keepNext/>
        <w:spacing w:before="240" w:after="80"/>
        <w:jc w:val="left"/>
      </w:pPr>
      <w:r>
        <w:rPr>
          <w:rFonts w:ascii="Calibri" w:hAnsi="Calibri"/>
          <w:b/>
          <w:color w:val="143C64"/>
          <w:sz w:val="26"/>
        </w:rPr>
        <w:t>9. Conduta em intercorrência</w:t>
      </w:r>
    </w:p>
    <w:p>
      <w:pPr>
        <w:spacing w:after="120"/>
        <w:jc w:val="both"/>
      </w:pPr>
      <w:r>
        <w:rPr>
          <w:rFonts w:ascii="Calibri" w:hAnsi="Calibri"/>
          <w:b w:val="0"/>
          <w:i w:val="0"/>
          <w:color w:val="1A1A1A"/>
          <w:sz w:val="24"/>
        </w:rPr>
        <w:t>Identificada divergência, suspender o uso do lote envolvido, registrar a ocorrência, investigar a causa e avaliar notificação conforme o POP-N5-17.</w:t>
      </w:r>
    </w:p>
    <w:p>
      <w:pPr>
        <w:keepNext/>
        <w:spacing w:before="240" w:after="80"/>
        <w:jc w:val="left"/>
      </w:pPr>
      <w:r>
        <w:rPr>
          <w:rFonts w:ascii="Calibri" w:hAnsi="Calibri"/>
          <w:b/>
          <w:color w:val="143C64"/>
          <w:sz w:val="26"/>
        </w:rPr>
        <w:t>10. Registro obrigatório</w:t>
      </w:r>
    </w:p>
    <w:p>
      <w:pPr>
        <w:pStyle w:val="ListBullet"/>
        <w:spacing w:after="60"/>
        <w:ind w:left="397"/>
        <w:jc w:val="both"/>
      </w:pPr>
      <w:r>
        <w:rPr>
          <w:rFonts w:ascii="Calibri" w:hAnsi="Calibri"/>
          <w:color w:val="1A1A1A"/>
          <w:sz w:val="24"/>
        </w:rPr>
        <w:t>Registro completo no prontuário de cada procedimento.</w:t>
      </w:r>
    </w:p>
    <w:p>
      <w:pPr>
        <w:pStyle w:val="ListBullet"/>
        <w:spacing w:after="60"/>
        <w:ind w:left="397"/>
        <w:jc w:val="both"/>
      </w:pPr>
      <w:r>
        <w:rPr>
          <w:rFonts w:ascii="Calibri" w:hAnsi="Calibri"/>
          <w:color w:val="1A1A1A"/>
          <w:sz w:val="24"/>
        </w:rPr>
        <w:t>Controle de estoque com entrada, saída e validade.</w:t>
      </w:r>
    </w:p>
    <w:p>
      <w:pPr>
        <w:pStyle w:val="ListBullet"/>
        <w:spacing w:after="60"/>
        <w:ind w:left="397"/>
        <w:jc w:val="both"/>
      </w:pPr>
      <w:r>
        <w:rPr>
          <w:rFonts w:ascii="Calibri" w:hAnsi="Calibri"/>
          <w:color w:val="1A1A1A"/>
          <w:sz w:val="24"/>
        </w:rPr>
        <w:t>Registro de condições de armazenamento, quando monitoradas.</w:t>
      </w:r>
    </w:p>
    <w:p>
      <w:pPr>
        <w:keepNext/>
        <w:spacing w:before="240" w:after="80"/>
        <w:jc w:val="left"/>
      </w:pPr>
      <w:r>
        <w:rPr>
          <w:rFonts w:ascii="Calibri" w:hAnsi="Calibri"/>
          <w:b/>
          <w:color w:val="143C64"/>
          <w:sz w:val="26"/>
        </w:rPr>
        <w:t>11. Pós-procedimento e seguimento</w:t>
      </w:r>
    </w:p>
    <w:p>
      <w:pPr>
        <w:spacing w:after="120"/>
        <w:jc w:val="both"/>
      </w:pPr>
      <w:r>
        <w:rPr>
          <w:rFonts w:ascii="Calibri" w:hAnsi="Calibri"/>
          <w:b w:val="0"/>
          <w:i w:val="0"/>
          <w:color w:val="1A1A1A"/>
          <w:sz w:val="24"/>
        </w:rPr>
        <w:t>Revisar periodicamente a consistência entre estoque e prontuário. Manter os registros pelo prazo da política de guarda declarada pelo serviço.</w:t>
      </w:r>
    </w:p>
    <w:p>
      <w:pPr>
        <w:keepNext/>
        <w:spacing w:before="240" w:after="80"/>
        <w:jc w:val="left"/>
      </w:pPr>
      <w:r>
        <w:rPr>
          <w:rFonts w:ascii="Calibri" w:hAnsi="Calibri"/>
          <w:b/>
          <w:color w:val="143C64"/>
          <w:sz w:val="26"/>
        </w:rPr>
        <w:t>12. Referências e data de consulta</w:t>
      </w:r>
    </w:p>
    <w:p>
      <w:pPr>
        <w:spacing w:after="120"/>
        <w:jc w:val="both"/>
      </w:pPr>
      <w:r>
        <w:rPr>
          <w:rFonts w:ascii="Calibri" w:hAnsi="Calibri"/>
          <w:b w:val="0"/>
          <w:i w:val="0"/>
          <w:color w:val="1A1A1A"/>
          <w:sz w:val="24"/>
        </w:rPr>
        <w:t>RDC Anvisa nº 1.002/2025 e nº 751/2022. Documento 10 do pacote. POP-N5-T03. Verificação das referências científicas do pacote realizada em 25 de agosto de 2026.</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641"/>
        <w:gridCol w:w="5431"/>
      </w:tblGrid>
      <w:tr>
        <w:trPr>
          <w:cantSplit/>
          <w:tblHeader/>
        </w:trPr>
        <w:tc>
          <w:tcPr>
            <w:tcW w:type="dxa" w:w="3641"/>
            <w:shd w:val="clear" w:color="auto" w:fill="143C64"/>
          </w:tcPr>
          <w:p>
            <w:pPr>
              <w:spacing w:after="0"/>
              <w:jc w:val="left"/>
            </w:pPr>
            <w:r/>
            <w:r>
              <w:rPr>
                <w:rFonts w:ascii="Calibri" w:hAnsi="Calibri"/>
                <w:b/>
                <w:color w:val="FFFFFF"/>
                <w:sz w:val="24"/>
              </w:rPr>
              <w:t>Controle</w:t>
            </w:r>
          </w:p>
        </w:tc>
        <w:tc>
          <w:tcPr>
            <w:tcW w:type="dxa" w:w="5431"/>
            <w:shd w:val="clear" w:color="auto" w:fill="143C64"/>
          </w:tcPr>
          <w:p>
            <w:pPr>
              <w:spacing w:after="0"/>
              <w:jc w:val="left"/>
            </w:pPr>
            <w:r/>
            <w:r>
              <w:rPr>
                <w:rFonts w:ascii="Calibri" w:hAnsi="Calibri"/>
                <w:b/>
                <w:color w:val="FFFFFF"/>
                <w:sz w:val="24"/>
              </w:rPr>
              <w:t>Registro</w:t>
            </w:r>
          </w:p>
        </w:tc>
      </w:tr>
      <w:tr>
        <w:trPr>
          <w:cantSplit/>
        </w:trPr>
        <w:tc>
          <w:tcPr>
            <w:tcW w:type="dxa" w:w="3641"/>
          </w:tcPr>
          <w:p>
            <w:pPr>
              <w:spacing w:after="0"/>
              <w:jc w:val="left"/>
            </w:pPr>
            <w:r/>
            <w:r>
              <w:rPr>
                <w:rFonts w:ascii="Calibri" w:hAnsi="Calibri"/>
                <w:b w:val="0"/>
                <w:color w:val="1A1A1A"/>
                <w:sz w:val="24"/>
              </w:rPr>
              <w:t>Elaboração</w:t>
            </w:r>
          </w:p>
        </w:tc>
        <w:tc>
          <w:tcPr>
            <w:tcW w:type="dxa" w:w="5431"/>
          </w:tcPr>
          <w:p>
            <w:pPr>
              <w:spacing w:after="0"/>
              <w:jc w:val="left"/>
            </w:pPr>
            <w:r/>
            <w:r>
              <w:rPr>
                <w:rFonts w:ascii="Calibri" w:hAnsi="Calibri"/>
                <w:b w:val="0"/>
                <w:color w:val="1A1A1A"/>
                <w:sz w:val="24"/>
              </w:rPr>
              <w:t>Núcleo 5 · Câmara Técnica de Harmonização Orofacial · CRO-MG</w:t>
            </w:r>
          </w:p>
        </w:tc>
      </w:tr>
      <w:tr>
        <w:trPr>
          <w:cantSplit/>
        </w:trPr>
        <w:tc>
          <w:tcPr>
            <w:tcW w:type="dxa" w:w="3641"/>
            <w:shd w:val="clear" w:color="auto" w:fill="F2F5F8"/>
          </w:tcPr>
          <w:p>
            <w:pPr>
              <w:spacing w:after="0"/>
              <w:jc w:val="left"/>
            </w:pPr>
            <w:r/>
            <w:r>
              <w:rPr>
                <w:rFonts w:ascii="Calibri" w:hAnsi="Calibri"/>
                <w:b w:val="0"/>
                <w:color w:val="1A1A1A"/>
                <w:sz w:val="24"/>
              </w:rPr>
              <w:t>Revisão por par</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Aprovação no serviço</w:t>
            </w:r>
          </w:p>
        </w:tc>
        <w:tc>
          <w:tcPr>
            <w:tcW w:type="dxa" w:w="5431"/>
          </w:tcPr>
          <w:p>
            <w:pPr>
              <w:spacing w:after="0"/>
              <w:jc w:val="left"/>
            </w:pPr>
            <w:r/>
            <w:r>
              <w:rPr>
                <w:rFonts w:ascii="Calibri" w:hAnsi="Calibri"/>
                <w:b w:val="0"/>
                <w:color w:val="1A1A1A"/>
                <w:sz w:val="24"/>
              </w:rPr>
              <w:t>Campo de preenchimento pelo serviço.</w:t>
            </w:r>
          </w:p>
        </w:tc>
      </w:tr>
      <w:tr>
        <w:trPr>
          <w:cantSplit/>
        </w:trPr>
        <w:tc>
          <w:tcPr>
            <w:tcW w:type="dxa" w:w="3641"/>
            <w:shd w:val="clear" w:color="auto" w:fill="F2F5F8"/>
          </w:tcPr>
          <w:p>
            <w:pPr>
              <w:spacing w:after="0"/>
              <w:jc w:val="left"/>
            </w:pPr>
            <w:r/>
            <w:r>
              <w:rPr>
                <w:rFonts w:ascii="Calibri" w:hAnsi="Calibri"/>
                <w:b w:val="0"/>
                <w:color w:val="1A1A1A"/>
                <w:sz w:val="24"/>
              </w:rPr>
              <w:t>Data de vigência no serviço</w:t>
            </w:r>
          </w:p>
        </w:tc>
        <w:tc>
          <w:tcPr>
            <w:tcW w:type="dxa" w:w="5431"/>
            <w:shd w:val="clear" w:color="auto" w:fill="F2F5F8"/>
          </w:tcPr>
          <w:p>
            <w:pPr>
              <w:spacing w:after="0"/>
              <w:jc w:val="left"/>
            </w:pPr>
            <w:r/>
            <w:r>
              <w:rPr>
                <w:rFonts w:ascii="Calibri" w:hAnsi="Calibri"/>
                <w:b w:val="0"/>
                <w:color w:val="1A1A1A"/>
                <w:sz w:val="24"/>
              </w:rPr>
              <w:t>Campo de preenchimento pelo serviço.</w:t>
            </w:r>
          </w:p>
        </w:tc>
      </w:tr>
      <w:tr>
        <w:trPr>
          <w:cantSplit/>
        </w:trPr>
        <w:tc>
          <w:tcPr>
            <w:tcW w:type="dxa" w:w="3641"/>
          </w:tcPr>
          <w:p>
            <w:pPr>
              <w:spacing w:after="0"/>
              <w:jc w:val="left"/>
            </w:pPr>
            <w:r/>
            <w:r>
              <w:rPr>
                <w:rFonts w:ascii="Calibri" w:hAnsi="Calibri"/>
                <w:b w:val="0"/>
                <w:color w:val="1A1A1A"/>
                <w:sz w:val="24"/>
              </w:rPr>
              <w:t>Responsável Técnico</w:t>
            </w:r>
          </w:p>
        </w:tc>
        <w:tc>
          <w:tcPr>
            <w:tcW w:type="dxa" w:w="5431"/>
          </w:tcPr>
          <w:p>
            <w:pPr>
              <w:spacing w:after="0"/>
              <w:jc w:val="left"/>
            </w:pPr>
            <w:r/>
            <w:r>
              <w:rPr>
                <w:rFonts w:ascii="Calibri" w:hAnsi="Calibri"/>
                <w:b w:val="0"/>
                <w:color w:val="1A1A1A"/>
                <w:sz w:val="24"/>
              </w:rPr>
              <w:t>Campo de preenchimento pelo serviço.</w:t>
            </w:r>
          </w:p>
        </w:tc>
      </w:tr>
    </w:tbl>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POP-N5-13 · Rastreabilidade de produtos · versão 1.0 · documento técnico-consultivo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POP-N5-13</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