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POP-N5-03  Aplicação de bioestimulador de colágeno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POP-N5-03.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aplicação de bioestimulador injetável, com ênfase em rastreabilidade, preparo conforme instrução de uso e acompanhamento de eventos tardios. Não define diluição, volume nem técnica, que dependem do produto e das instruções do fabricante.</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Produto regularizado, com finalidade aprovada compatível com a região pretendida. Registrar número, situação, finalidade, data da consulta e responsável. Atenção específica ao tempo e ao método de reconstituição previstos na instrução de uso, quando aplicável.</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para a técnica e para o manejo de nódulos e eventos inflamatórios tardios, conforme o POP-N5-07.</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Produto regularizado dentro da validade; diluente conforme instrução de uso; material de antissepsia; agulhas ou cânulas; equipamento de proteção individual; recursos de resposta a intercorrência; registro de lote.</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com registro de que eventos tardios são possíveis.</w:t>
      </w:r>
    </w:p>
    <w:p>
      <w:pPr>
        <w:pStyle w:val="ListBullet"/>
        <w:spacing w:after="60"/>
        <w:ind w:left="397"/>
        <w:jc w:val="both"/>
      </w:pPr>
      <w:r>
        <w:rPr>
          <w:rFonts w:ascii="Calibri" w:hAnsi="Calibri"/>
          <w:color w:val="1A1A1A"/>
          <w:sz w:val="24"/>
        </w:rPr>
        <w:t>☐  Contraindicações reavaliadas, incluindo infecção ativa e doença inflamatória em atividade.</w:t>
      </w:r>
    </w:p>
    <w:p>
      <w:pPr>
        <w:pStyle w:val="ListBullet"/>
        <w:spacing w:after="60"/>
        <w:ind w:left="397"/>
        <w:jc w:val="both"/>
      </w:pPr>
      <w:r>
        <w:rPr>
          <w:rFonts w:ascii="Calibri" w:hAnsi="Calibri"/>
          <w:color w:val="1A1A1A"/>
          <w:sz w:val="24"/>
        </w:rPr>
        <w:t>☐  Reconstituição realizada conforme instrução de uso, com registro do horário de preparo e do tempo de repouso quando exigido.</w:t>
      </w:r>
    </w:p>
    <w:p>
      <w:pPr>
        <w:pStyle w:val="ListBullet"/>
        <w:spacing w:after="60"/>
        <w:ind w:left="397"/>
        <w:jc w:val="both"/>
      </w:pPr>
      <w:r>
        <w:rPr>
          <w:rFonts w:ascii="Calibri" w:hAnsi="Calibri"/>
          <w:color w:val="1A1A1A"/>
          <w:sz w:val="24"/>
        </w:rPr>
        <w:t>☐  Produto conferido: identificação, integridade, lote e validade.</w:t>
      </w:r>
    </w:p>
    <w:p>
      <w:pPr>
        <w:pStyle w:val="ListBullet"/>
        <w:spacing w:after="60"/>
        <w:ind w:left="397"/>
        <w:jc w:val="both"/>
      </w:pPr>
      <w:r>
        <w:rPr>
          <w:rFonts w:ascii="Calibri" w:hAnsi="Calibri"/>
          <w:color w:val="1A1A1A"/>
          <w:sz w:val="24"/>
        </w:rPr>
        <w:t>☐  Recursos de resposta a intercorrência disponíveis e conferidos.</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pausa de segurança prevista no Checklist.</w:t>
      </w:r>
    </w:p>
    <w:p>
      <w:pPr>
        <w:pStyle w:val="ListNumber"/>
        <w:spacing w:after="60"/>
        <w:ind w:left="397"/>
        <w:jc w:val="both"/>
      </w:pPr>
      <w:r>
        <w:rPr>
          <w:rFonts w:ascii="Calibri" w:hAnsi="Calibri"/>
          <w:color w:val="1A1A1A"/>
          <w:sz w:val="24"/>
        </w:rPr>
        <w:t>Realizar antissepsia conforme rotina do serviço.</w:t>
      </w:r>
    </w:p>
    <w:p>
      <w:pPr>
        <w:pStyle w:val="ListNumber"/>
        <w:spacing w:after="60"/>
        <w:ind w:left="397"/>
        <w:jc w:val="both"/>
      </w:pPr>
      <w:r>
        <w:rPr>
          <w:rFonts w:ascii="Calibri" w:hAnsi="Calibri"/>
          <w:color w:val="1A1A1A"/>
          <w:sz w:val="24"/>
        </w:rPr>
        <w:t>Aplicar conforme instruções de uso e planejamento, observando os parâmetros registrados no campo de preenchimento do serviço.</w:t>
      </w:r>
    </w:p>
    <w:p>
      <w:pPr>
        <w:pStyle w:val="ListNumber"/>
        <w:spacing w:after="60"/>
        <w:ind w:left="397"/>
        <w:jc w:val="both"/>
      </w:pPr>
      <w:r>
        <w:rPr>
          <w:rFonts w:ascii="Calibri" w:hAnsi="Calibri"/>
          <w:color w:val="1A1A1A"/>
          <w:sz w:val="24"/>
        </w:rPr>
        <w:t>Distribuir o produto de forma homogênea segundo a técnica adotada, evitando acúmulo concentrado.</w:t>
      </w:r>
    </w:p>
    <w:p>
      <w:pPr>
        <w:pStyle w:val="ListNumber"/>
        <w:spacing w:after="60"/>
        <w:ind w:left="397"/>
        <w:jc w:val="both"/>
      </w:pPr>
      <w:r>
        <w:rPr>
          <w:rFonts w:ascii="Calibri" w:hAnsi="Calibri"/>
          <w:color w:val="1A1A1A"/>
          <w:sz w:val="24"/>
        </w:rPr>
        <w:t>Observar sinais de comprometimento vascular durante toda a aplicação.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Dor desproporcional, palidez ou alteração de perfusão.</w:t>
      </w:r>
    </w:p>
    <w:p>
      <w:pPr>
        <w:pStyle w:val="ListBullet"/>
        <w:spacing w:after="60"/>
        <w:ind w:left="397"/>
        <w:jc w:val="both"/>
      </w:pPr>
      <w:r>
        <w:rPr>
          <w:rFonts w:ascii="Calibri" w:hAnsi="Calibri"/>
          <w:color w:val="1A1A1A"/>
          <w:sz w:val="24"/>
        </w:rPr>
        <w:t>Resistência anormal à injeção.</w:t>
      </w:r>
    </w:p>
    <w:p>
      <w:pPr>
        <w:pStyle w:val="ListBullet"/>
        <w:spacing w:after="60"/>
        <w:ind w:left="397"/>
        <w:jc w:val="both"/>
      </w:pPr>
      <w:r>
        <w:rPr>
          <w:rFonts w:ascii="Calibri" w:hAnsi="Calibri"/>
          <w:color w:val="1A1A1A"/>
          <w:sz w:val="24"/>
        </w:rPr>
        <w:t>Formação de elevação localizada durante a aplicação.</w:t>
      </w:r>
    </w:p>
    <w:p>
      <w:pPr>
        <w:pStyle w:val="ListBullet"/>
        <w:spacing w:after="60"/>
        <w:ind w:left="397"/>
        <w:jc w:val="both"/>
      </w:pPr>
      <w:r>
        <w:rPr>
          <w:rFonts w:ascii="Calibri" w:hAnsi="Calibri"/>
          <w:color w:val="1A1A1A"/>
          <w:sz w:val="24"/>
        </w:rPr>
        <w:t>Sinais visuais ou neurológicos, que exigem encaminhamento imediato.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vascular segue o POP-N5-05. Nódulo ou evento inflamatório posterior segue o POP-N5-07. Reação sistêmica segue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fabricante, lote, validade, diluição e volume por região.</w:t>
      </w:r>
    </w:p>
    <w:p>
      <w:pPr>
        <w:pStyle w:val="ListBullet"/>
        <w:spacing w:after="60"/>
        <w:ind w:left="397"/>
        <w:jc w:val="both"/>
      </w:pPr>
      <w:r>
        <w:rPr>
          <w:rFonts w:ascii="Calibri" w:hAnsi="Calibri"/>
          <w:color w:val="1A1A1A"/>
          <w:sz w:val="24"/>
        </w:rPr>
        <w:t>Horário de reconstituição e tempo de repouso, quando exigido pela instrução de uso.</w:t>
      </w:r>
    </w:p>
    <w:p>
      <w:pPr>
        <w:pStyle w:val="ListBullet"/>
        <w:spacing w:after="60"/>
        <w:ind w:left="397"/>
        <w:jc w:val="both"/>
      </w:pPr>
      <w:r>
        <w:rPr>
          <w:rFonts w:ascii="Calibri" w:hAnsi="Calibri"/>
          <w:color w:val="1A1A1A"/>
          <w:sz w:val="24"/>
        </w:rPr>
        <w:t>Região, lado, plano e técnica.</w:t>
      </w:r>
    </w:p>
    <w:p>
      <w:pPr>
        <w:pStyle w:val="ListBullet"/>
        <w:spacing w:after="60"/>
        <w:ind w:left="397"/>
        <w:jc w:val="both"/>
      </w:pPr>
      <w:r>
        <w:rPr>
          <w:rFonts w:ascii="Calibri" w:hAnsi="Calibri"/>
          <w:color w:val="1A1A1A"/>
          <w:sz w:val="24"/>
        </w:rPr>
        <w:t>Intercorrências, horários e condutas.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Orientar por escrito sobre evolução esperada, tempo até o resultado, cuidados locais e sinais que exigem contato. Informar expressamente que eventos podem surgir semanas ou meses depois e que o contato deve ocorrer mesmo tardiamente. Agendar reavaliação.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com data de consulta. RDC Anvisa nº 1.002/2025 e nº 751/2022. Documentos 07 e 08 do pacote.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POP-N5-03 · Aplicação de bioestimulador de colágeno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