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CADERNO CONSOLIDADO</w:t>
      </w:r>
    </w:p>
    <w:p>
      <w:pPr>
        <w:spacing w:after="160"/>
        <w:jc w:val="center"/>
      </w:pPr>
      <w:r>
        <w:rPr>
          <w:rFonts w:ascii="Calibri" w:hAnsi="Calibri"/>
          <w:b/>
          <w:color w:val="143C64"/>
          <w:sz w:val="48"/>
        </w:rPr>
        <w:t>Caderno de POPs</w:t>
      </w:r>
    </w:p>
    <w:p>
      <w:pPr>
        <w:spacing w:after="720"/>
        <w:jc w:val="center"/>
      </w:pPr>
      <w:r>
        <w:rPr>
          <w:rFonts w:ascii="Calibri" w:hAnsi="Calibri"/>
          <w:b w:val="0"/>
          <w:i w:val="0"/>
          <w:color w:val="444A52"/>
          <w:sz w:val="26"/>
        </w:rPr>
        <w:t>Vinte e um procedimentos operacionais padrão da Câmara Técnica de Harmonização Orofacial do CRO-MG: dezessete temáticos e quatro transversais de governança tecnológica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87"/>
        <w:gridCol w:w="5385"/>
      </w:tblGrid>
      <w:tr>
        <w:trPr>
          <w:cantSplit/>
          <w:tblHeader/>
        </w:trPr>
        <w:tc>
          <w:tcPr>
            <w:tcW w:type="dxa" w:w="3687"/>
            <w:shd w:val="clear" w:color="auto" w:fill="143C64"/>
          </w:tcPr>
          <w:p>
            <w:pPr>
              <w:spacing w:after="0"/>
              <w:jc w:val="left"/>
            </w:pPr>
            <w:r/>
            <w:r>
              <w:rPr>
                <w:rFonts w:ascii="Calibri" w:hAnsi="Calibri"/>
                <w:b/>
                <w:color w:val="FFFFFF"/>
                <w:sz w:val="24"/>
              </w:rPr>
              <w:t>Identificação do documento</w:t>
            </w:r>
          </w:p>
        </w:tc>
        <w:tc>
          <w:tcPr>
            <w:tcW w:type="dxa" w:w="5385"/>
            <w:shd w:val="clear" w:color="auto" w:fill="143C64"/>
          </w:tcPr>
          <w:p>
            <w:pPr>
              <w:spacing w:after="0"/>
              <w:jc w:val="left"/>
            </w:pPr>
            <w:r/>
            <w:r>
              <w:rPr>
                <w:rFonts w:ascii="Calibri" w:hAnsi="Calibri"/>
                <w:b/>
                <w:color w:val="FFFFFF"/>
                <w:sz w:val="24"/>
              </w:rPr>
              <w:t>Registro</w:t>
            </w:r>
          </w:p>
        </w:tc>
      </w:tr>
      <w:tr>
        <w:trPr>
          <w:cantSplit/>
        </w:trPr>
        <w:tc>
          <w:tcPr>
            <w:tcW w:type="dxa" w:w="3687"/>
          </w:tcPr>
          <w:p>
            <w:pPr>
              <w:spacing w:after="0"/>
              <w:jc w:val="left"/>
            </w:pPr>
            <w:r/>
            <w:r>
              <w:rPr>
                <w:rFonts w:ascii="Calibri" w:hAnsi="Calibri"/>
                <w:b w:val="0"/>
                <w:color w:val="1A1A1A"/>
                <w:sz w:val="24"/>
              </w:rPr>
              <w:t>Código de controle</w:t>
            </w:r>
          </w:p>
        </w:tc>
        <w:tc>
          <w:tcPr>
            <w:tcW w:type="dxa" w:w="5385"/>
          </w:tcPr>
          <w:p>
            <w:pPr>
              <w:spacing w:after="0"/>
              <w:jc w:val="left"/>
            </w:pPr>
            <w:r/>
            <w:r>
              <w:rPr>
                <w:rFonts w:ascii="Calibri" w:hAnsi="Calibri"/>
                <w:b w:val="0"/>
                <w:color w:val="1A1A1A"/>
                <w:sz w:val="24"/>
              </w:rPr>
              <w:t>N5-POP-CAD</w:t>
            </w:r>
          </w:p>
        </w:tc>
      </w:tr>
      <w:tr>
        <w:trPr>
          <w:cantSplit/>
        </w:trPr>
        <w:tc>
          <w:tcPr>
            <w:tcW w:type="dxa" w:w="3687"/>
            <w:shd w:val="clear" w:color="auto" w:fill="F2F5F8"/>
          </w:tcPr>
          <w:p>
            <w:pPr>
              <w:spacing w:after="0"/>
              <w:jc w:val="left"/>
            </w:pPr>
            <w:r/>
            <w:r>
              <w:rPr>
                <w:rFonts w:ascii="Calibri" w:hAnsi="Calibri"/>
                <w:b w:val="0"/>
                <w:color w:val="1A1A1A"/>
                <w:sz w:val="24"/>
              </w:rPr>
              <w:t>Versão</w:t>
            </w:r>
          </w:p>
        </w:tc>
        <w:tc>
          <w:tcPr>
            <w:tcW w:type="dxa" w:w="5385"/>
            <w:shd w:val="clear" w:color="auto" w:fill="F2F5F8"/>
          </w:tcPr>
          <w:p>
            <w:pPr>
              <w:spacing w:after="0"/>
              <w:jc w:val="left"/>
            </w:pPr>
            <w:r/>
            <w:r>
              <w:rPr>
                <w:rFonts w:ascii="Calibri" w:hAnsi="Calibri"/>
                <w:b w:val="0"/>
                <w:color w:val="1A1A1A"/>
                <w:sz w:val="24"/>
              </w:rPr>
              <w:t>1.0</w:t>
            </w:r>
          </w:p>
        </w:tc>
      </w:tr>
      <w:tr>
        <w:trPr>
          <w:cantSplit/>
        </w:trPr>
        <w:tc>
          <w:tcPr>
            <w:tcW w:type="dxa" w:w="3687"/>
          </w:tcPr>
          <w:p>
            <w:pPr>
              <w:spacing w:after="0"/>
              <w:jc w:val="left"/>
            </w:pPr>
            <w:r/>
            <w:r>
              <w:rPr>
                <w:rFonts w:ascii="Calibri" w:hAnsi="Calibri"/>
                <w:b w:val="0"/>
                <w:color w:val="1A1A1A"/>
                <w:sz w:val="24"/>
              </w:rPr>
              <w:t>Data de emissão</w:t>
            </w:r>
          </w:p>
        </w:tc>
        <w:tc>
          <w:tcPr>
            <w:tcW w:type="dxa" w:w="5385"/>
          </w:tcPr>
          <w:p>
            <w:pPr>
              <w:spacing w:after="0"/>
              <w:jc w:val="left"/>
            </w:pPr>
            <w:r/>
            <w:r>
              <w:rPr>
                <w:rFonts w:ascii="Calibri" w:hAnsi="Calibri"/>
                <w:b w:val="0"/>
                <w:color w:val="1A1A1A"/>
                <w:sz w:val="24"/>
              </w:rPr>
              <w:t>26 de agosto de 2026</w:t>
            </w:r>
          </w:p>
        </w:tc>
      </w:tr>
      <w:tr>
        <w:trPr>
          <w:cantSplit/>
        </w:trPr>
        <w:tc>
          <w:tcPr>
            <w:tcW w:type="dxa" w:w="3687"/>
            <w:shd w:val="clear" w:color="auto" w:fill="F2F5F8"/>
          </w:tcPr>
          <w:p>
            <w:pPr>
              <w:spacing w:after="0"/>
              <w:jc w:val="left"/>
            </w:pPr>
            <w:r/>
            <w:r>
              <w:rPr>
                <w:rFonts w:ascii="Calibri" w:hAnsi="Calibri"/>
                <w:b w:val="0"/>
                <w:color w:val="1A1A1A"/>
                <w:sz w:val="24"/>
              </w:rPr>
              <w:t>Situação</w:t>
            </w:r>
          </w:p>
        </w:tc>
        <w:tc>
          <w:tcPr>
            <w:tcW w:type="dxa" w:w="5385"/>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687"/>
          </w:tcPr>
          <w:p>
            <w:pPr>
              <w:spacing w:after="0"/>
              <w:jc w:val="left"/>
            </w:pPr>
            <w:r/>
            <w:r>
              <w:rPr>
                <w:rFonts w:ascii="Calibri" w:hAnsi="Calibri"/>
                <w:b w:val="0"/>
                <w:color w:val="1A1A1A"/>
                <w:sz w:val="24"/>
              </w:rPr>
              <w:t>Elaboração</w:t>
            </w:r>
          </w:p>
        </w:tc>
        <w:tc>
          <w:tcPr>
            <w:tcW w:type="dxa" w:w="5385"/>
          </w:tcPr>
          <w:p>
            <w:pPr>
              <w:spacing w:after="0"/>
              <w:jc w:val="left"/>
            </w:pPr>
            <w:r/>
            <w:r>
              <w:rPr>
                <w:rFonts w:ascii="Calibri" w:hAnsi="Calibri"/>
                <w:b w:val="0"/>
                <w:color w:val="1A1A1A"/>
                <w:sz w:val="24"/>
              </w:rPr>
              <w:t>Núcleo 5 · Inovação, Tecnologias e Segurança Clínica</w:t>
            </w:r>
          </w:p>
        </w:tc>
      </w:tr>
      <w:tr>
        <w:trPr>
          <w:cantSplit/>
        </w:trPr>
        <w:tc>
          <w:tcPr>
            <w:tcW w:type="dxa" w:w="3687"/>
            <w:shd w:val="clear" w:color="auto" w:fill="F2F5F8"/>
          </w:tcPr>
          <w:p>
            <w:pPr>
              <w:spacing w:after="0"/>
              <w:jc w:val="left"/>
            </w:pPr>
            <w:r/>
            <w:r>
              <w:rPr>
                <w:rFonts w:ascii="Calibri" w:hAnsi="Calibri"/>
                <w:b w:val="0"/>
                <w:color w:val="1A1A1A"/>
                <w:sz w:val="24"/>
              </w:rPr>
              <w:t>Natureza</w:t>
            </w:r>
          </w:p>
        </w:tc>
        <w:tc>
          <w:tcPr>
            <w:tcW w:type="dxa" w:w="5385"/>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687"/>
          </w:tcPr>
          <w:p>
            <w:pPr>
              <w:spacing w:after="0"/>
              <w:jc w:val="left"/>
            </w:pPr>
            <w:r/>
            <w:r>
              <w:rPr>
                <w:rFonts w:ascii="Calibri" w:hAnsi="Calibri"/>
                <w:b w:val="0"/>
                <w:color w:val="1A1A1A"/>
                <w:sz w:val="24"/>
              </w:rPr>
              <w:t>Condição de publicação</w:t>
            </w:r>
          </w:p>
        </w:tc>
        <w:tc>
          <w:tcPr>
            <w:tcW w:type="dxa" w:w="5385"/>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Como este caderno foi construído</w:t>
      </w:r>
    </w:p>
    <w:p>
      <w:pPr>
        <w:spacing w:after="120"/>
        <w:jc w:val="both"/>
      </w:pPr>
      <w:r>
        <w:rPr>
          <w:rFonts w:ascii="Calibri" w:hAnsi="Calibri"/>
          <w:b w:val="0"/>
          <w:i w:val="0"/>
          <w:color w:val="1A1A1A"/>
          <w:sz w:val="24"/>
        </w:rPr>
        <w:t>Cada POP traz os doze campos obrigatórios do modelo mestre preenchidos. O processo, os critérios de decisão, as verificações, os sinais de alerta, o escalonamento e o registro estão fechados e podem ser adotados como estão.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O que está em branco, e por quê</w:t>
            </w:r>
          </w:p>
          <w:p>
            <w:pPr>
              <w:spacing w:after="0"/>
              <w:jc w:val="both"/>
            </w:pPr>
            <w:r>
              <w:rPr>
                <w:rFonts w:ascii="Calibri" w:hAnsi="Calibri"/>
                <w:color w:val="1A1A1A"/>
                <w:sz w:val="24"/>
              </w:rPr>
              <w:t>Os valores que dependem do produto ou do equipamento, como dose, volume, diluição, energia e tempo de aplicação, aparecem como campo de preenchimento pelo serviço, a partir das instruções de uso do fabricante e com data de consulta registrada. Um conselho profissional não fixa a dose de um produto que a clínica ainda não escolheu, e POP com número sem produto definido é protocolo sem sustentação. Essa ausência é uma decisão técnica, não uma pendência.</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92"/>
        <w:gridCol w:w="5080"/>
      </w:tblGrid>
      <w:tr>
        <w:trPr>
          <w:cantSplit/>
          <w:tblHeader/>
        </w:trPr>
        <w:tc>
          <w:tcPr>
            <w:tcW w:type="dxa" w:w="3992"/>
            <w:shd w:val="clear" w:color="auto" w:fill="143C64"/>
          </w:tcPr>
          <w:p>
            <w:pPr>
              <w:spacing w:after="0"/>
              <w:jc w:val="left"/>
            </w:pPr>
            <w:r/>
            <w:r>
              <w:rPr>
                <w:rFonts w:ascii="Calibri" w:hAnsi="Calibri"/>
                <w:b/>
                <w:color w:val="FFFFFF"/>
                <w:sz w:val="24"/>
              </w:rPr>
              <w:t>Categoria</w:t>
            </w:r>
          </w:p>
        </w:tc>
        <w:tc>
          <w:tcPr>
            <w:tcW w:type="dxa" w:w="5080"/>
            <w:shd w:val="clear" w:color="auto" w:fill="143C64"/>
          </w:tcPr>
          <w:p>
            <w:pPr>
              <w:spacing w:after="0"/>
              <w:jc w:val="left"/>
            </w:pPr>
            <w:r/>
            <w:r>
              <w:rPr>
                <w:rFonts w:ascii="Calibri" w:hAnsi="Calibri"/>
                <w:b/>
                <w:color w:val="FFFFFF"/>
                <w:sz w:val="24"/>
              </w:rPr>
              <w:t>Definição</w:t>
            </w:r>
          </w:p>
        </w:tc>
      </w:tr>
      <w:tr>
        <w:trPr>
          <w:cantSplit/>
        </w:trPr>
        <w:tc>
          <w:tcPr>
            <w:tcW w:type="dxa" w:w="3992"/>
          </w:tcPr>
          <w:p>
            <w:pPr>
              <w:spacing w:after="0"/>
              <w:jc w:val="left"/>
            </w:pPr>
            <w:r/>
            <w:r>
              <w:rPr>
                <w:rFonts w:ascii="Calibri" w:hAnsi="Calibri"/>
                <w:b/>
                <w:color w:val="1A1A1A"/>
                <w:sz w:val="24"/>
              </w:rPr>
              <w:t>EXIGÊNCIA NORMATIVA</w:t>
            </w:r>
          </w:p>
        </w:tc>
        <w:tc>
          <w:tcPr>
            <w:tcW w:type="dxa" w:w="5080"/>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992"/>
            <w:shd w:val="clear" w:color="auto" w:fill="F2F5F8"/>
          </w:tcPr>
          <w:p>
            <w:pPr>
              <w:spacing w:after="0"/>
              <w:jc w:val="left"/>
            </w:pPr>
            <w:r/>
            <w:r>
              <w:rPr>
                <w:rFonts w:ascii="Calibri" w:hAnsi="Calibri"/>
                <w:b/>
                <w:color w:val="1A1A1A"/>
                <w:sz w:val="24"/>
              </w:rPr>
              <w:t>EVIDÊNCIA CIENTÍFICA</w:t>
            </w:r>
          </w:p>
        </w:tc>
        <w:tc>
          <w:tcPr>
            <w:tcW w:type="dxa" w:w="5080"/>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992"/>
          </w:tcPr>
          <w:p>
            <w:pPr>
              <w:spacing w:after="0"/>
              <w:jc w:val="left"/>
            </w:pPr>
            <w:r/>
            <w:r>
              <w:rPr>
                <w:rFonts w:ascii="Calibri" w:hAnsi="Calibri"/>
                <w:b/>
                <w:color w:val="1A1A1A"/>
                <w:sz w:val="24"/>
              </w:rPr>
              <w:t>RECOMENDAÇÃO TÉCNICA</w:t>
            </w:r>
          </w:p>
        </w:tc>
        <w:tc>
          <w:tcPr>
            <w:tcW w:type="dxa" w:w="5080"/>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992"/>
            <w:shd w:val="clear" w:color="auto" w:fill="F2F5F8"/>
          </w:tcPr>
          <w:p>
            <w:pPr>
              <w:spacing w:after="0"/>
              <w:jc w:val="left"/>
            </w:pPr>
            <w:r/>
            <w:r>
              <w:rPr>
                <w:rFonts w:ascii="Calibri" w:hAnsi="Calibri"/>
                <w:b/>
                <w:color w:val="1A1A1A"/>
                <w:sz w:val="24"/>
              </w:rPr>
              <w:t>PENDÊNCIA INSTITUCIONAL</w:t>
            </w:r>
          </w:p>
        </w:tc>
        <w:tc>
          <w:tcPr>
            <w:tcW w:type="dxa" w:w="5080"/>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Índice dos procedimentos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891"/>
        <w:gridCol w:w="2751"/>
        <w:gridCol w:w="2037"/>
        <w:gridCol w:w="2392"/>
      </w:tblGrid>
      <w:tr>
        <w:trPr>
          <w:cantSplit/>
          <w:tblHeader/>
        </w:trPr>
        <w:tc>
          <w:tcPr>
            <w:tcW w:type="dxa" w:w="1891"/>
            <w:shd w:val="clear" w:color="auto" w:fill="143C64"/>
          </w:tcPr>
          <w:p>
            <w:pPr>
              <w:spacing w:after="0"/>
              <w:jc w:val="left"/>
            </w:pPr>
            <w:r/>
            <w:r>
              <w:rPr>
                <w:rFonts w:ascii="Calibri" w:hAnsi="Calibri"/>
                <w:b/>
                <w:color w:val="FFFFFF"/>
                <w:sz w:val="24"/>
              </w:rPr>
              <w:t>Código</w:t>
            </w:r>
          </w:p>
        </w:tc>
        <w:tc>
          <w:tcPr>
            <w:tcW w:type="dxa" w:w="2751"/>
            <w:shd w:val="clear" w:color="auto" w:fill="143C64"/>
          </w:tcPr>
          <w:p>
            <w:pPr>
              <w:spacing w:after="0"/>
              <w:jc w:val="left"/>
            </w:pPr>
            <w:r/>
            <w:r>
              <w:rPr>
                <w:rFonts w:ascii="Calibri" w:hAnsi="Calibri"/>
                <w:b/>
                <w:color w:val="FFFFFF"/>
                <w:sz w:val="24"/>
              </w:rPr>
              <w:t>Título</w:t>
            </w:r>
          </w:p>
        </w:tc>
        <w:tc>
          <w:tcPr>
            <w:tcW w:type="dxa" w:w="2037"/>
            <w:shd w:val="clear" w:color="auto" w:fill="143C64"/>
          </w:tcPr>
          <w:p>
            <w:pPr>
              <w:spacing w:after="0"/>
              <w:jc w:val="left"/>
            </w:pPr>
            <w:r/>
            <w:r>
              <w:rPr>
                <w:rFonts w:ascii="Calibri" w:hAnsi="Calibri"/>
                <w:b/>
                <w:color w:val="FFFFFF"/>
                <w:sz w:val="24"/>
              </w:rPr>
              <w:t>Onda</w:t>
            </w:r>
          </w:p>
        </w:tc>
        <w:tc>
          <w:tcPr>
            <w:tcW w:type="dxa" w:w="2392"/>
            <w:shd w:val="clear" w:color="auto" w:fill="143C64"/>
          </w:tcPr>
          <w:p>
            <w:pPr>
              <w:spacing w:after="0"/>
              <w:jc w:val="left"/>
            </w:pPr>
            <w:r/>
            <w:r>
              <w:rPr>
                <w:rFonts w:ascii="Calibri" w:hAnsi="Calibri"/>
                <w:b/>
                <w:color w:val="FFFFFF"/>
                <w:sz w:val="24"/>
              </w:rPr>
              <w:t>Situação de escopo</w:t>
            </w:r>
          </w:p>
        </w:tc>
      </w:tr>
      <w:tr>
        <w:trPr>
          <w:cantSplit/>
        </w:trPr>
        <w:tc>
          <w:tcPr>
            <w:tcW w:type="dxa" w:w="1891"/>
          </w:tcPr>
          <w:p>
            <w:pPr>
              <w:spacing w:after="0"/>
              <w:jc w:val="left"/>
            </w:pPr>
            <w:r/>
            <w:r>
              <w:rPr>
                <w:rFonts w:ascii="Calibri" w:hAnsi="Calibri"/>
                <w:b w:val="0"/>
                <w:color w:val="1A1A1A"/>
                <w:sz w:val="24"/>
              </w:rPr>
              <w:t>POP-N5-01</w:t>
            </w:r>
          </w:p>
        </w:tc>
        <w:tc>
          <w:tcPr>
            <w:tcW w:type="dxa" w:w="2751"/>
          </w:tcPr>
          <w:p>
            <w:pPr>
              <w:spacing w:after="0"/>
              <w:jc w:val="left"/>
            </w:pPr>
            <w:r/>
            <w:r>
              <w:rPr>
                <w:rFonts w:ascii="Calibri" w:hAnsi="Calibri"/>
                <w:b w:val="0"/>
                <w:color w:val="1A1A1A"/>
                <w:sz w:val="24"/>
              </w:rPr>
              <w:t>Consulta, avaliação e planejamento em Harmonização Orofacial</w:t>
            </w:r>
          </w:p>
        </w:tc>
        <w:tc>
          <w:tcPr>
            <w:tcW w:type="dxa" w:w="2037"/>
          </w:tcPr>
          <w:p>
            <w:pPr>
              <w:spacing w:after="0"/>
              <w:jc w:val="left"/>
            </w:pPr>
            <w:r/>
            <w:r>
              <w:rPr>
                <w:rFonts w:ascii="Calibri" w:hAnsi="Calibri"/>
                <w:b w:val="0"/>
                <w:color w:val="1A1A1A"/>
                <w:sz w:val="24"/>
              </w:rPr>
              <w:t>1</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POP-N5-02</w:t>
            </w:r>
          </w:p>
        </w:tc>
        <w:tc>
          <w:tcPr>
            <w:tcW w:type="dxa" w:w="2751"/>
            <w:shd w:val="clear" w:color="auto" w:fill="F2F5F8"/>
          </w:tcPr>
          <w:p>
            <w:pPr>
              <w:spacing w:after="0"/>
              <w:jc w:val="left"/>
            </w:pPr>
            <w:r/>
            <w:r>
              <w:rPr>
                <w:rFonts w:ascii="Calibri" w:hAnsi="Calibri"/>
                <w:b w:val="0"/>
                <w:color w:val="1A1A1A"/>
                <w:sz w:val="24"/>
              </w:rPr>
              <w:t>Aplicação de preenchedor injetável</w:t>
            </w:r>
          </w:p>
        </w:tc>
        <w:tc>
          <w:tcPr>
            <w:tcW w:type="dxa" w:w="2037"/>
            <w:shd w:val="clear" w:color="auto" w:fill="F2F5F8"/>
          </w:tcPr>
          <w:p>
            <w:pPr>
              <w:spacing w:after="0"/>
              <w:jc w:val="left"/>
            </w:pPr>
            <w:r/>
            <w:r>
              <w:rPr>
                <w:rFonts w:ascii="Calibri" w:hAnsi="Calibri"/>
                <w:b w:val="0"/>
                <w:color w:val="1A1A1A"/>
                <w:sz w:val="24"/>
              </w:rPr>
              <w:t>1</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POP-N5-03</w:t>
            </w:r>
          </w:p>
        </w:tc>
        <w:tc>
          <w:tcPr>
            <w:tcW w:type="dxa" w:w="2751"/>
          </w:tcPr>
          <w:p>
            <w:pPr>
              <w:spacing w:after="0"/>
              <w:jc w:val="left"/>
            </w:pPr>
            <w:r/>
            <w:r>
              <w:rPr>
                <w:rFonts w:ascii="Calibri" w:hAnsi="Calibri"/>
                <w:b w:val="0"/>
                <w:color w:val="1A1A1A"/>
                <w:sz w:val="24"/>
              </w:rPr>
              <w:t>Aplicação de bioestimulador de colágeno</w:t>
            </w:r>
          </w:p>
        </w:tc>
        <w:tc>
          <w:tcPr>
            <w:tcW w:type="dxa" w:w="2037"/>
          </w:tcPr>
          <w:p>
            <w:pPr>
              <w:spacing w:after="0"/>
              <w:jc w:val="left"/>
            </w:pPr>
            <w:r/>
            <w:r>
              <w:rPr>
                <w:rFonts w:ascii="Calibri" w:hAnsi="Calibri"/>
                <w:b w:val="0"/>
                <w:color w:val="1A1A1A"/>
                <w:sz w:val="24"/>
              </w:rPr>
              <w:t>1</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POP-N5-04</w:t>
            </w:r>
          </w:p>
        </w:tc>
        <w:tc>
          <w:tcPr>
            <w:tcW w:type="dxa" w:w="2751"/>
            <w:shd w:val="clear" w:color="auto" w:fill="F2F5F8"/>
          </w:tcPr>
          <w:p>
            <w:pPr>
              <w:spacing w:after="0"/>
              <w:jc w:val="left"/>
            </w:pPr>
            <w:r/>
            <w:r>
              <w:rPr>
                <w:rFonts w:ascii="Calibri" w:hAnsi="Calibri"/>
                <w:b w:val="0"/>
                <w:color w:val="1A1A1A"/>
                <w:sz w:val="24"/>
              </w:rPr>
              <w:t>Aplicação de toxina botulínica</w:t>
            </w:r>
          </w:p>
        </w:tc>
        <w:tc>
          <w:tcPr>
            <w:tcW w:type="dxa" w:w="2037"/>
            <w:shd w:val="clear" w:color="auto" w:fill="F2F5F8"/>
          </w:tcPr>
          <w:p>
            <w:pPr>
              <w:spacing w:after="0"/>
              <w:jc w:val="left"/>
            </w:pPr>
            <w:r/>
            <w:r>
              <w:rPr>
                <w:rFonts w:ascii="Calibri" w:hAnsi="Calibri"/>
                <w:b w:val="0"/>
                <w:color w:val="1A1A1A"/>
                <w:sz w:val="24"/>
              </w:rPr>
              <w:t>1</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POP-N5-05</w:t>
            </w:r>
          </w:p>
        </w:tc>
        <w:tc>
          <w:tcPr>
            <w:tcW w:type="dxa" w:w="2751"/>
          </w:tcPr>
          <w:p>
            <w:pPr>
              <w:spacing w:after="0"/>
              <w:jc w:val="left"/>
            </w:pPr>
            <w:r/>
            <w:r>
              <w:rPr>
                <w:rFonts w:ascii="Calibri" w:hAnsi="Calibri"/>
                <w:b w:val="0"/>
                <w:color w:val="1A1A1A"/>
                <w:sz w:val="24"/>
              </w:rPr>
              <w:t>Suspeita de comprometimento vascular com envolvimento cutâneo</w:t>
            </w:r>
          </w:p>
        </w:tc>
        <w:tc>
          <w:tcPr>
            <w:tcW w:type="dxa" w:w="2037"/>
          </w:tcPr>
          <w:p>
            <w:pPr>
              <w:spacing w:after="0"/>
              <w:jc w:val="left"/>
            </w:pPr>
            <w:r/>
            <w:r>
              <w:rPr>
                <w:rFonts w:ascii="Calibri" w:hAnsi="Calibri"/>
                <w:b w:val="0"/>
                <w:color w:val="1A1A1A"/>
                <w:sz w:val="24"/>
              </w:rPr>
              <w:t>1</w:t>
            </w:r>
          </w:p>
        </w:tc>
        <w:tc>
          <w:tcPr>
            <w:tcW w:type="dxa" w:w="2392"/>
          </w:tcPr>
          <w:p>
            <w:pPr>
              <w:spacing w:after="0"/>
              <w:jc w:val="left"/>
            </w:pPr>
            <w:r/>
            <w:r>
              <w:rPr>
                <w:rFonts w:ascii="Calibri" w:hAnsi="Calibri"/>
                <w:b w:val="0"/>
                <w:color w:val="1A1A1A"/>
                <w:sz w:val="24"/>
              </w:rPr>
              <w:t>Livre, com fonte obrigatória por afirmação</w:t>
            </w:r>
          </w:p>
        </w:tc>
      </w:tr>
      <w:tr>
        <w:trPr>
          <w:cantSplit/>
        </w:trPr>
        <w:tc>
          <w:tcPr>
            <w:tcW w:type="dxa" w:w="1891"/>
            <w:shd w:val="clear" w:color="auto" w:fill="F2F5F8"/>
          </w:tcPr>
          <w:p>
            <w:pPr>
              <w:spacing w:after="0"/>
              <w:jc w:val="left"/>
            </w:pPr>
            <w:r/>
            <w:r>
              <w:rPr>
                <w:rFonts w:ascii="Calibri" w:hAnsi="Calibri"/>
                <w:b w:val="0"/>
                <w:color w:val="1A1A1A"/>
                <w:sz w:val="24"/>
              </w:rPr>
              <w:t>POP-N5-06</w:t>
            </w:r>
          </w:p>
        </w:tc>
        <w:tc>
          <w:tcPr>
            <w:tcW w:type="dxa" w:w="2751"/>
            <w:shd w:val="clear" w:color="auto" w:fill="F2F5F8"/>
          </w:tcPr>
          <w:p>
            <w:pPr>
              <w:spacing w:after="0"/>
              <w:jc w:val="left"/>
            </w:pPr>
            <w:r/>
            <w:r>
              <w:rPr>
                <w:rFonts w:ascii="Calibri" w:hAnsi="Calibri"/>
                <w:b w:val="0"/>
                <w:color w:val="1A1A1A"/>
                <w:sz w:val="24"/>
              </w:rPr>
              <w:t>Suspeita de comprometimento com envolvimento oftálmico ou neurológico</w:t>
            </w:r>
          </w:p>
        </w:tc>
        <w:tc>
          <w:tcPr>
            <w:tcW w:type="dxa" w:w="2037"/>
            <w:shd w:val="clear" w:color="auto" w:fill="F2F5F8"/>
          </w:tcPr>
          <w:p>
            <w:pPr>
              <w:spacing w:after="0"/>
              <w:jc w:val="left"/>
            </w:pPr>
            <w:r/>
            <w:r>
              <w:rPr>
                <w:rFonts w:ascii="Calibri" w:hAnsi="Calibri"/>
                <w:b w:val="0"/>
                <w:color w:val="1A1A1A"/>
                <w:sz w:val="24"/>
              </w:rPr>
              <w:t>1</w:t>
            </w:r>
          </w:p>
        </w:tc>
        <w:tc>
          <w:tcPr>
            <w:tcW w:type="dxa" w:w="2392"/>
            <w:shd w:val="clear" w:color="auto" w:fill="F2F5F8"/>
          </w:tcPr>
          <w:p>
            <w:pPr>
              <w:spacing w:after="0"/>
              <w:jc w:val="left"/>
            </w:pPr>
            <w:r/>
            <w:r>
              <w:rPr>
                <w:rFonts w:ascii="Calibri" w:hAnsi="Calibri"/>
                <w:b w:val="0"/>
                <w:color w:val="1A1A1A"/>
                <w:sz w:val="24"/>
              </w:rPr>
              <w:t>Livre, com fonte obrigatória por afirmação</w:t>
            </w:r>
          </w:p>
        </w:tc>
      </w:tr>
      <w:tr>
        <w:trPr>
          <w:cantSplit/>
        </w:trPr>
        <w:tc>
          <w:tcPr>
            <w:tcW w:type="dxa" w:w="1891"/>
          </w:tcPr>
          <w:p>
            <w:pPr>
              <w:spacing w:after="0"/>
              <w:jc w:val="left"/>
            </w:pPr>
            <w:r/>
            <w:r>
              <w:rPr>
                <w:rFonts w:ascii="Calibri" w:hAnsi="Calibri"/>
                <w:b w:val="0"/>
                <w:color w:val="1A1A1A"/>
                <w:sz w:val="24"/>
              </w:rPr>
              <w:t>POP-N5-07</w:t>
            </w:r>
          </w:p>
        </w:tc>
        <w:tc>
          <w:tcPr>
            <w:tcW w:type="dxa" w:w="2751"/>
          </w:tcPr>
          <w:p>
            <w:pPr>
              <w:spacing w:after="0"/>
              <w:jc w:val="left"/>
            </w:pPr>
            <w:r/>
            <w:r>
              <w:rPr>
                <w:rFonts w:ascii="Calibri" w:hAnsi="Calibri"/>
                <w:b w:val="0"/>
                <w:color w:val="1A1A1A"/>
                <w:sz w:val="24"/>
              </w:rPr>
              <w:t>Nódulo e evento inflamatório tardio</w:t>
            </w:r>
          </w:p>
        </w:tc>
        <w:tc>
          <w:tcPr>
            <w:tcW w:type="dxa" w:w="2037"/>
          </w:tcPr>
          <w:p>
            <w:pPr>
              <w:spacing w:after="0"/>
              <w:jc w:val="left"/>
            </w:pPr>
            <w:r/>
            <w:r>
              <w:rPr>
                <w:rFonts w:ascii="Calibri" w:hAnsi="Calibri"/>
                <w:b w:val="0"/>
                <w:color w:val="1A1A1A"/>
                <w:sz w:val="24"/>
              </w:rPr>
              <w:t>2</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POP-N5-08</w:t>
            </w:r>
          </w:p>
        </w:tc>
        <w:tc>
          <w:tcPr>
            <w:tcW w:type="dxa" w:w="2751"/>
            <w:shd w:val="clear" w:color="auto" w:fill="F2F5F8"/>
          </w:tcPr>
          <w:p>
            <w:pPr>
              <w:spacing w:after="0"/>
              <w:jc w:val="left"/>
            </w:pPr>
            <w:r/>
            <w:r>
              <w:rPr>
                <w:rFonts w:ascii="Calibri" w:hAnsi="Calibri"/>
                <w:b w:val="0"/>
                <w:color w:val="1A1A1A"/>
                <w:sz w:val="24"/>
              </w:rPr>
              <w:t>Infecção e abscesso após procedimento</w:t>
            </w:r>
          </w:p>
        </w:tc>
        <w:tc>
          <w:tcPr>
            <w:tcW w:type="dxa" w:w="2037"/>
            <w:shd w:val="clear" w:color="auto" w:fill="F2F5F8"/>
          </w:tcPr>
          <w:p>
            <w:pPr>
              <w:spacing w:after="0"/>
              <w:jc w:val="left"/>
            </w:pPr>
            <w:r/>
            <w:r>
              <w:rPr>
                <w:rFonts w:ascii="Calibri" w:hAnsi="Calibri"/>
                <w:b w:val="0"/>
                <w:color w:val="1A1A1A"/>
                <w:sz w:val="24"/>
              </w:rPr>
              <w:t>2</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POP-N5-09</w:t>
            </w:r>
          </w:p>
        </w:tc>
        <w:tc>
          <w:tcPr>
            <w:tcW w:type="dxa" w:w="2751"/>
          </w:tcPr>
          <w:p>
            <w:pPr>
              <w:spacing w:after="0"/>
              <w:jc w:val="left"/>
            </w:pPr>
            <w:r/>
            <w:r>
              <w:rPr>
                <w:rFonts w:ascii="Calibri" w:hAnsi="Calibri"/>
                <w:b w:val="0"/>
                <w:color w:val="1A1A1A"/>
                <w:sz w:val="24"/>
              </w:rPr>
              <w:t>Kit de resposta a intercorrências e fluxo de emergência</w:t>
            </w:r>
          </w:p>
        </w:tc>
        <w:tc>
          <w:tcPr>
            <w:tcW w:type="dxa" w:w="2037"/>
          </w:tcPr>
          <w:p>
            <w:pPr>
              <w:spacing w:after="0"/>
              <w:jc w:val="left"/>
            </w:pPr>
            <w:r/>
            <w:r>
              <w:rPr>
                <w:rFonts w:ascii="Calibri" w:hAnsi="Calibri"/>
                <w:b w:val="0"/>
                <w:color w:val="1A1A1A"/>
                <w:sz w:val="24"/>
              </w:rPr>
              <w:t>1</w:t>
            </w:r>
          </w:p>
        </w:tc>
        <w:tc>
          <w:tcPr>
            <w:tcW w:type="dxa" w:w="2392"/>
          </w:tcPr>
          <w:p>
            <w:pPr>
              <w:spacing w:after="0"/>
              <w:jc w:val="left"/>
            </w:pPr>
            <w:r/>
            <w:r>
              <w:rPr>
                <w:rFonts w:ascii="Calibri" w:hAnsi="Calibri"/>
                <w:b w:val="0"/>
                <w:color w:val="1A1A1A"/>
                <w:sz w:val="24"/>
              </w:rPr>
              <w:t>Depende de deliberação sobre composição</w:t>
            </w:r>
          </w:p>
        </w:tc>
      </w:tr>
      <w:tr>
        <w:trPr>
          <w:cantSplit/>
        </w:trPr>
        <w:tc>
          <w:tcPr>
            <w:tcW w:type="dxa" w:w="1891"/>
            <w:shd w:val="clear" w:color="auto" w:fill="F2F5F8"/>
          </w:tcPr>
          <w:p>
            <w:pPr>
              <w:spacing w:after="0"/>
              <w:jc w:val="left"/>
            </w:pPr>
            <w:r/>
            <w:r>
              <w:rPr>
                <w:rFonts w:ascii="Calibri" w:hAnsi="Calibri"/>
                <w:b w:val="0"/>
                <w:color w:val="1A1A1A"/>
                <w:sz w:val="24"/>
              </w:rPr>
              <w:t>POP-N5-10</w:t>
            </w:r>
          </w:p>
        </w:tc>
        <w:tc>
          <w:tcPr>
            <w:tcW w:type="dxa" w:w="2751"/>
            <w:shd w:val="clear" w:color="auto" w:fill="F2F5F8"/>
          </w:tcPr>
          <w:p>
            <w:pPr>
              <w:spacing w:after="0"/>
              <w:jc w:val="left"/>
            </w:pPr>
            <w:r/>
            <w:r>
              <w:rPr>
                <w:rFonts w:ascii="Calibri" w:hAnsi="Calibri"/>
                <w:b w:val="0"/>
                <w:color w:val="1A1A1A"/>
                <w:sz w:val="24"/>
              </w:rPr>
              <w:t>Reação sistêmica e emergência clínica</w:t>
            </w:r>
          </w:p>
        </w:tc>
        <w:tc>
          <w:tcPr>
            <w:tcW w:type="dxa" w:w="2037"/>
            <w:shd w:val="clear" w:color="auto" w:fill="F2F5F8"/>
          </w:tcPr>
          <w:p>
            <w:pPr>
              <w:spacing w:after="0"/>
              <w:jc w:val="left"/>
            </w:pPr>
            <w:r/>
            <w:r>
              <w:rPr>
                <w:rFonts w:ascii="Calibri" w:hAnsi="Calibri"/>
                <w:b w:val="0"/>
                <w:color w:val="1A1A1A"/>
                <w:sz w:val="24"/>
              </w:rPr>
              <w:t>1</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POP-N5-11</w:t>
            </w:r>
          </w:p>
        </w:tc>
        <w:tc>
          <w:tcPr>
            <w:tcW w:type="dxa" w:w="2751"/>
          </w:tcPr>
          <w:p>
            <w:pPr>
              <w:spacing w:after="0"/>
              <w:jc w:val="left"/>
            </w:pPr>
            <w:r/>
            <w:r>
              <w:rPr>
                <w:rFonts w:ascii="Calibri" w:hAnsi="Calibri"/>
                <w:b w:val="0"/>
                <w:color w:val="1A1A1A"/>
                <w:sz w:val="24"/>
              </w:rPr>
              <w:t>Biossegurança e processamento</w:t>
            </w:r>
          </w:p>
        </w:tc>
        <w:tc>
          <w:tcPr>
            <w:tcW w:type="dxa" w:w="2037"/>
          </w:tcPr>
          <w:p>
            <w:pPr>
              <w:spacing w:after="0"/>
              <w:jc w:val="left"/>
            </w:pPr>
            <w:r/>
            <w:r>
              <w:rPr>
                <w:rFonts w:ascii="Calibri" w:hAnsi="Calibri"/>
                <w:b w:val="0"/>
                <w:color w:val="1A1A1A"/>
                <w:sz w:val="24"/>
              </w:rPr>
              <w:t>2</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POP-N5-12</w:t>
            </w:r>
          </w:p>
        </w:tc>
        <w:tc>
          <w:tcPr>
            <w:tcW w:type="dxa" w:w="2751"/>
            <w:shd w:val="clear" w:color="auto" w:fill="F2F5F8"/>
          </w:tcPr>
          <w:p>
            <w:pPr>
              <w:spacing w:after="0"/>
              <w:jc w:val="left"/>
            </w:pPr>
            <w:r/>
            <w:r>
              <w:rPr>
                <w:rFonts w:ascii="Calibri" w:hAnsi="Calibri"/>
                <w:b w:val="0"/>
                <w:color w:val="1A1A1A"/>
                <w:sz w:val="24"/>
              </w:rPr>
              <w:t>Documentação fotográfica padronizada</w:t>
            </w:r>
          </w:p>
        </w:tc>
        <w:tc>
          <w:tcPr>
            <w:tcW w:type="dxa" w:w="2037"/>
            <w:shd w:val="clear" w:color="auto" w:fill="F2F5F8"/>
          </w:tcPr>
          <w:p>
            <w:pPr>
              <w:spacing w:after="0"/>
              <w:jc w:val="left"/>
            </w:pPr>
            <w:r/>
            <w:r>
              <w:rPr>
                <w:rFonts w:ascii="Calibri" w:hAnsi="Calibri"/>
                <w:b w:val="0"/>
                <w:color w:val="1A1A1A"/>
                <w:sz w:val="24"/>
              </w:rPr>
              <w:t>3</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POP-N5-13</w:t>
            </w:r>
          </w:p>
        </w:tc>
        <w:tc>
          <w:tcPr>
            <w:tcW w:type="dxa" w:w="2751"/>
          </w:tcPr>
          <w:p>
            <w:pPr>
              <w:spacing w:after="0"/>
              <w:jc w:val="left"/>
            </w:pPr>
            <w:r/>
            <w:r>
              <w:rPr>
                <w:rFonts w:ascii="Calibri" w:hAnsi="Calibri"/>
                <w:b w:val="0"/>
                <w:color w:val="1A1A1A"/>
                <w:sz w:val="24"/>
              </w:rPr>
              <w:t>Rastreabilidade de produtos</w:t>
            </w:r>
          </w:p>
        </w:tc>
        <w:tc>
          <w:tcPr>
            <w:tcW w:type="dxa" w:w="2037"/>
          </w:tcPr>
          <w:p>
            <w:pPr>
              <w:spacing w:after="0"/>
              <w:jc w:val="left"/>
            </w:pPr>
            <w:r/>
            <w:r>
              <w:rPr>
                <w:rFonts w:ascii="Calibri" w:hAnsi="Calibri"/>
                <w:b w:val="0"/>
                <w:color w:val="1A1A1A"/>
                <w:sz w:val="24"/>
              </w:rPr>
              <w:t>2</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POP-N5-14</w:t>
            </w:r>
          </w:p>
        </w:tc>
        <w:tc>
          <w:tcPr>
            <w:tcW w:type="dxa" w:w="2751"/>
            <w:shd w:val="clear" w:color="auto" w:fill="F2F5F8"/>
          </w:tcPr>
          <w:p>
            <w:pPr>
              <w:spacing w:after="0"/>
              <w:jc w:val="left"/>
            </w:pPr>
            <w:r/>
            <w:r>
              <w:rPr>
                <w:rFonts w:ascii="Calibri" w:hAnsi="Calibri"/>
                <w:b w:val="0"/>
                <w:color w:val="1A1A1A"/>
                <w:sz w:val="24"/>
              </w:rPr>
              <w:t>Preparo, limpeza e conservação de equipamento</w:t>
            </w:r>
          </w:p>
        </w:tc>
        <w:tc>
          <w:tcPr>
            <w:tcW w:type="dxa" w:w="2037"/>
            <w:shd w:val="clear" w:color="auto" w:fill="F2F5F8"/>
          </w:tcPr>
          <w:p>
            <w:pPr>
              <w:spacing w:after="0"/>
              <w:jc w:val="left"/>
            </w:pPr>
            <w:r/>
            <w:r>
              <w:rPr>
                <w:rFonts w:ascii="Calibri" w:hAnsi="Calibri"/>
                <w:b w:val="0"/>
                <w:color w:val="1A1A1A"/>
                <w:sz w:val="24"/>
              </w:rPr>
              <w:t>2</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POP-N5-15</w:t>
            </w:r>
          </w:p>
        </w:tc>
        <w:tc>
          <w:tcPr>
            <w:tcW w:type="dxa" w:w="2751"/>
          </w:tcPr>
          <w:p>
            <w:pPr>
              <w:spacing w:after="0"/>
              <w:jc w:val="left"/>
            </w:pPr>
            <w:r/>
            <w:r>
              <w:rPr>
                <w:rFonts w:ascii="Calibri" w:hAnsi="Calibri"/>
                <w:b w:val="0"/>
                <w:color w:val="1A1A1A"/>
                <w:sz w:val="24"/>
              </w:rPr>
              <w:t>Documentação e guarda de exames de imagem</w:t>
            </w:r>
          </w:p>
        </w:tc>
        <w:tc>
          <w:tcPr>
            <w:tcW w:type="dxa" w:w="2037"/>
          </w:tcPr>
          <w:p>
            <w:pPr>
              <w:spacing w:after="0"/>
              <w:jc w:val="left"/>
            </w:pPr>
            <w:r/>
            <w:r>
              <w:rPr>
                <w:rFonts w:ascii="Calibri" w:hAnsi="Calibri"/>
                <w:b w:val="0"/>
                <w:color w:val="1A1A1A"/>
                <w:sz w:val="24"/>
              </w:rPr>
              <w:t>3</w:t>
            </w:r>
          </w:p>
        </w:tc>
        <w:tc>
          <w:tcPr>
            <w:tcW w:type="dxa" w:w="2392"/>
          </w:tcPr>
          <w:p>
            <w:pPr>
              <w:spacing w:after="0"/>
              <w:jc w:val="left"/>
            </w:pPr>
            <w:r/>
            <w:r>
              <w:rPr>
                <w:rFonts w:ascii="Calibri" w:hAnsi="Calibri"/>
                <w:b w:val="0"/>
                <w:color w:val="1A1A1A"/>
                <w:sz w:val="24"/>
              </w:rPr>
              <w:t>Parcial. Emissão de laudo suspensa até definição institucional de escopo</w:t>
            </w:r>
          </w:p>
        </w:tc>
      </w:tr>
      <w:tr>
        <w:trPr>
          <w:cantSplit/>
        </w:trPr>
        <w:tc>
          <w:tcPr>
            <w:tcW w:type="dxa" w:w="1891"/>
            <w:shd w:val="clear" w:color="auto" w:fill="F2F5F8"/>
          </w:tcPr>
          <w:p>
            <w:pPr>
              <w:spacing w:after="0"/>
              <w:jc w:val="left"/>
            </w:pPr>
            <w:r/>
            <w:r>
              <w:rPr>
                <w:rFonts w:ascii="Calibri" w:hAnsi="Calibri"/>
                <w:b w:val="0"/>
                <w:color w:val="1A1A1A"/>
                <w:sz w:val="24"/>
              </w:rPr>
              <w:t>POP-N5-16</w:t>
            </w:r>
          </w:p>
        </w:tc>
        <w:tc>
          <w:tcPr>
            <w:tcW w:type="dxa" w:w="2751"/>
            <w:shd w:val="clear" w:color="auto" w:fill="F2F5F8"/>
          </w:tcPr>
          <w:p>
            <w:pPr>
              <w:spacing w:after="0"/>
              <w:jc w:val="left"/>
            </w:pPr>
            <w:r/>
            <w:r>
              <w:rPr>
                <w:rFonts w:ascii="Calibri" w:hAnsi="Calibri"/>
                <w:b w:val="0"/>
                <w:color w:val="1A1A1A"/>
                <w:sz w:val="24"/>
              </w:rPr>
              <w:t>Uso de software e ferramenta digital de apoio</w:t>
            </w:r>
          </w:p>
        </w:tc>
        <w:tc>
          <w:tcPr>
            <w:tcW w:type="dxa" w:w="2037"/>
            <w:shd w:val="clear" w:color="auto" w:fill="F2F5F8"/>
          </w:tcPr>
          <w:p>
            <w:pPr>
              <w:spacing w:after="0"/>
              <w:jc w:val="left"/>
            </w:pPr>
            <w:r/>
            <w:r>
              <w:rPr>
                <w:rFonts w:ascii="Calibri" w:hAnsi="Calibri"/>
                <w:b w:val="0"/>
                <w:color w:val="1A1A1A"/>
                <w:sz w:val="24"/>
              </w:rPr>
              <w:t>3</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POP-N5-17</w:t>
            </w:r>
          </w:p>
        </w:tc>
        <w:tc>
          <w:tcPr>
            <w:tcW w:type="dxa" w:w="2751"/>
          </w:tcPr>
          <w:p>
            <w:pPr>
              <w:spacing w:after="0"/>
              <w:jc w:val="left"/>
            </w:pPr>
            <w:r/>
            <w:r>
              <w:rPr>
                <w:rFonts w:ascii="Calibri" w:hAnsi="Calibri"/>
                <w:b w:val="0"/>
                <w:color w:val="1A1A1A"/>
                <w:sz w:val="24"/>
              </w:rPr>
              <w:t>Notificação de evento adverso e de queixa técnica</w:t>
            </w:r>
          </w:p>
        </w:tc>
        <w:tc>
          <w:tcPr>
            <w:tcW w:type="dxa" w:w="2037"/>
          </w:tcPr>
          <w:p>
            <w:pPr>
              <w:spacing w:after="0"/>
              <w:jc w:val="left"/>
            </w:pPr>
            <w:r/>
            <w:r>
              <w:rPr>
                <w:rFonts w:ascii="Calibri" w:hAnsi="Calibri"/>
                <w:b w:val="0"/>
                <w:color w:val="1A1A1A"/>
                <w:sz w:val="24"/>
              </w:rPr>
              <w:t>1</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POP-N5-T01</w:t>
            </w:r>
          </w:p>
        </w:tc>
        <w:tc>
          <w:tcPr>
            <w:tcW w:type="dxa" w:w="2751"/>
            <w:shd w:val="clear" w:color="auto" w:fill="F2F5F8"/>
          </w:tcPr>
          <w:p>
            <w:pPr>
              <w:spacing w:after="0"/>
              <w:jc w:val="left"/>
            </w:pPr>
            <w:r/>
            <w:r>
              <w:rPr>
                <w:rFonts w:ascii="Calibri" w:hAnsi="Calibri"/>
                <w:b w:val="0"/>
                <w:color w:val="1A1A1A"/>
                <w:sz w:val="24"/>
              </w:rPr>
              <w:t>Verificação regulatória e documental pré-uso de tecnologia</w:t>
            </w:r>
          </w:p>
        </w:tc>
        <w:tc>
          <w:tcPr>
            <w:tcW w:type="dxa" w:w="2037"/>
            <w:shd w:val="clear" w:color="auto" w:fill="F2F5F8"/>
          </w:tcPr>
          <w:p>
            <w:pPr>
              <w:spacing w:after="0"/>
              <w:jc w:val="left"/>
            </w:pPr>
            <w:r/>
            <w:r>
              <w:rPr>
                <w:rFonts w:ascii="Calibri" w:hAnsi="Calibri"/>
                <w:b w:val="0"/>
                <w:color w:val="1A1A1A"/>
                <w:sz w:val="24"/>
              </w:rPr>
              <w:t>Transversal</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POP-N5-T02</w:t>
            </w:r>
          </w:p>
        </w:tc>
        <w:tc>
          <w:tcPr>
            <w:tcW w:type="dxa" w:w="2751"/>
          </w:tcPr>
          <w:p>
            <w:pPr>
              <w:spacing w:after="0"/>
              <w:jc w:val="left"/>
            </w:pPr>
            <w:r/>
            <w:r>
              <w:rPr>
                <w:rFonts w:ascii="Calibri" w:hAnsi="Calibri"/>
                <w:b w:val="0"/>
                <w:color w:val="1A1A1A"/>
                <w:sz w:val="24"/>
              </w:rPr>
              <w:t>Manutenção, calibração, ajuste e controle de desempenho</w:t>
            </w:r>
          </w:p>
        </w:tc>
        <w:tc>
          <w:tcPr>
            <w:tcW w:type="dxa" w:w="2037"/>
          </w:tcPr>
          <w:p>
            <w:pPr>
              <w:spacing w:after="0"/>
              <w:jc w:val="left"/>
            </w:pPr>
            <w:r/>
            <w:r>
              <w:rPr>
                <w:rFonts w:ascii="Calibri" w:hAnsi="Calibri"/>
                <w:b w:val="0"/>
                <w:color w:val="1A1A1A"/>
                <w:sz w:val="24"/>
              </w:rPr>
              <w:t>Transversal</w:t>
            </w:r>
          </w:p>
        </w:tc>
        <w:tc>
          <w:tcPr>
            <w:tcW w:type="dxa" w:w="2392"/>
          </w:tcPr>
          <w:p>
            <w:pPr>
              <w:spacing w:after="0"/>
              <w:jc w:val="left"/>
            </w:pPr>
            <w:r/>
            <w:r>
              <w:rPr>
                <w:rFonts w:ascii="Calibri" w:hAnsi="Calibri"/>
                <w:b w:val="0"/>
                <w:color w:val="1A1A1A"/>
                <w:sz w:val="24"/>
              </w:rPr>
              <w:t>Livre</w:t>
            </w:r>
          </w:p>
        </w:tc>
      </w:tr>
      <w:tr>
        <w:trPr>
          <w:cantSplit/>
        </w:trPr>
        <w:tc>
          <w:tcPr>
            <w:tcW w:type="dxa" w:w="1891"/>
            <w:shd w:val="clear" w:color="auto" w:fill="F2F5F8"/>
          </w:tcPr>
          <w:p>
            <w:pPr>
              <w:spacing w:after="0"/>
              <w:jc w:val="left"/>
            </w:pPr>
            <w:r/>
            <w:r>
              <w:rPr>
                <w:rFonts w:ascii="Calibri" w:hAnsi="Calibri"/>
                <w:b w:val="0"/>
                <w:color w:val="1A1A1A"/>
                <w:sz w:val="24"/>
              </w:rPr>
              <w:t>POP-N5-T03</w:t>
            </w:r>
          </w:p>
        </w:tc>
        <w:tc>
          <w:tcPr>
            <w:tcW w:type="dxa" w:w="2751"/>
            <w:shd w:val="clear" w:color="auto" w:fill="F2F5F8"/>
          </w:tcPr>
          <w:p>
            <w:pPr>
              <w:spacing w:after="0"/>
              <w:jc w:val="left"/>
            </w:pPr>
            <w:r/>
            <w:r>
              <w:rPr>
                <w:rFonts w:ascii="Calibri" w:hAnsi="Calibri"/>
                <w:b w:val="0"/>
                <w:color w:val="1A1A1A"/>
                <w:sz w:val="24"/>
              </w:rPr>
              <w:t>Rastreabilidade da sessão e documentação clínica</w:t>
            </w:r>
          </w:p>
        </w:tc>
        <w:tc>
          <w:tcPr>
            <w:tcW w:type="dxa" w:w="2037"/>
            <w:shd w:val="clear" w:color="auto" w:fill="F2F5F8"/>
          </w:tcPr>
          <w:p>
            <w:pPr>
              <w:spacing w:after="0"/>
              <w:jc w:val="left"/>
            </w:pPr>
            <w:r/>
            <w:r>
              <w:rPr>
                <w:rFonts w:ascii="Calibri" w:hAnsi="Calibri"/>
                <w:b w:val="0"/>
                <w:color w:val="1A1A1A"/>
                <w:sz w:val="24"/>
              </w:rPr>
              <w:t>Transversal</w:t>
            </w:r>
          </w:p>
        </w:tc>
        <w:tc>
          <w:tcPr>
            <w:tcW w:type="dxa" w:w="2392"/>
            <w:shd w:val="clear" w:color="auto" w:fill="F2F5F8"/>
          </w:tcPr>
          <w:p>
            <w:pPr>
              <w:spacing w:after="0"/>
              <w:jc w:val="left"/>
            </w:pPr>
            <w:r/>
            <w:r>
              <w:rPr>
                <w:rFonts w:ascii="Calibri" w:hAnsi="Calibri"/>
                <w:b w:val="0"/>
                <w:color w:val="1A1A1A"/>
                <w:sz w:val="24"/>
              </w:rPr>
              <w:t>Livre</w:t>
            </w:r>
          </w:p>
        </w:tc>
      </w:tr>
      <w:tr>
        <w:trPr>
          <w:cantSplit/>
        </w:trPr>
        <w:tc>
          <w:tcPr>
            <w:tcW w:type="dxa" w:w="1891"/>
          </w:tcPr>
          <w:p>
            <w:pPr>
              <w:spacing w:after="0"/>
              <w:jc w:val="left"/>
            </w:pPr>
            <w:r/>
            <w:r>
              <w:rPr>
                <w:rFonts w:ascii="Calibri" w:hAnsi="Calibri"/>
                <w:b w:val="0"/>
                <w:color w:val="1A1A1A"/>
                <w:sz w:val="24"/>
              </w:rPr>
              <w:t>POP-N5-T04</w:t>
            </w:r>
          </w:p>
        </w:tc>
        <w:tc>
          <w:tcPr>
            <w:tcW w:type="dxa" w:w="2751"/>
          </w:tcPr>
          <w:p>
            <w:pPr>
              <w:spacing w:after="0"/>
              <w:jc w:val="left"/>
            </w:pPr>
            <w:r/>
            <w:r>
              <w:rPr>
                <w:rFonts w:ascii="Calibri" w:hAnsi="Calibri"/>
                <w:b w:val="0"/>
                <w:color w:val="1A1A1A"/>
                <w:sz w:val="24"/>
              </w:rPr>
              <w:t>Falha de equipamento, incidente e evento adverso relacionado a tecnologia</w:t>
            </w:r>
          </w:p>
        </w:tc>
        <w:tc>
          <w:tcPr>
            <w:tcW w:type="dxa" w:w="2037"/>
          </w:tcPr>
          <w:p>
            <w:pPr>
              <w:spacing w:after="0"/>
              <w:jc w:val="left"/>
            </w:pPr>
            <w:r/>
            <w:r>
              <w:rPr>
                <w:rFonts w:ascii="Calibri" w:hAnsi="Calibri"/>
                <w:b w:val="0"/>
                <w:color w:val="1A1A1A"/>
                <w:sz w:val="24"/>
              </w:rPr>
              <w:t>Transversal</w:t>
            </w:r>
          </w:p>
        </w:tc>
        <w:tc>
          <w:tcPr>
            <w:tcW w:type="dxa" w:w="2392"/>
          </w:tcPr>
          <w:p>
            <w:pPr>
              <w:spacing w:after="0"/>
              <w:jc w:val="left"/>
            </w:pPr>
            <w:r/>
            <w:r>
              <w:rPr>
                <w:rFonts w:ascii="Calibri" w:hAnsi="Calibri"/>
                <w:b w:val="0"/>
                <w:color w:val="1A1A1A"/>
                <w:sz w:val="24"/>
              </w:rPr>
              <w:t>Livre</w:t>
            </w:r>
          </w:p>
        </w:tc>
      </w:tr>
    </w:tbl>
    <w:p>
      <w:r>
        <w:br w:type="page"/>
      </w:r>
    </w:p>
    <w:p>
      <w:pPr>
        <w:keepNext/>
        <w:spacing w:before="360" w:after="160"/>
        <w:jc w:val="left"/>
        <w:pBdr>
          <w:bottom w:val="single" w:sz="8" w:space="4" w:color="143C64"/>
        </w:pBdr>
      </w:pPr>
      <w:r>
        <w:rPr>
          <w:rFonts w:ascii="Calibri" w:hAnsi="Calibri"/>
          <w:b/>
          <w:color w:val="143C64"/>
          <w:sz w:val="30"/>
        </w:rPr>
        <w:t>3  Parte I. Procedimentos temáticos</w:t>
      </w:r>
    </w:p>
    <w:p>
      <w:pPr>
        <w:keepNext/>
        <w:spacing w:before="360" w:after="160"/>
        <w:jc w:val="left"/>
        <w:pBdr>
          <w:bottom w:val="single" w:sz="8" w:space="4" w:color="143C64"/>
        </w:pBdr>
      </w:pPr>
      <w:r>
        <w:rPr>
          <w:rFonts w:ascii="Calibri" w:hAnsi="Calibri"/>
          <w:b/>
          <w:color w:val="143C64"/>
          <w:sz w:val="30"/>
        </w:rPr>
        <w:t>POP-N5-01  Consulta, avaliação e planejamento em Harmonização Orofacial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POP-N5-01.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primeira consulta em Harmonização Orofacial, de modo que a indicação, o risco individual e o plano de tratamento estejam documentados antes de qualquer procedimento. Aplica-se a todo atendimento inicial e a toda reavaliação que anteceda novo plano. Não cobre a execução dos procedimentos, tratada nos POPs específicos.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A obrigação de manter rotinas e procedimentos operacionais padrão decorre da RDC Anvisa nº 1.002/2025, art. 110. O dever de informação, o consentimento e o acesso ao prontuário decorrem da Lei nº 15.378/2026 e do Código de Ética Odontológica. O tratamento de dados pessoais e de imagem observa a Lei nº 13.709/2018.</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os procedimentos que pretende indicar. A capacitação deve constar do registro de treinamento do serviço.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Prontuário, formulário de anamnese, instrumento de exame clínico, régua ou compasso de medição quando utilizado, equipamento de documentação fotográfica padronizada, termo de consentimento específico e termo de uso de imagem.</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Identificação do paciente conferida e prontuário disponível.</w:t>
      </w:r>
    </w:p>
    <w:p>
      <w:pPr>
        <w:pStyle w:val="ListBullet"/>
        <w:spacing w:after="60"/>
        <w:ind w:left="397"/>
        <w:jc w:val="both"/>
      </w:pPr>
      <w:r>
        <w:rPr>
          <w:rFonts w:ascii="Calibri" w:hAnsi="Calibri"/>
          <w:color w:val="1A1A1A"/>
          <w:sz w:val="24"/>
        </w:rPr>
        <w:t>☐  Anamnese atualizada, incluindo comorbidades, alergias, medicações em uso, anticoagulantes, antiagregantes, imunossupressores e gestação quando aplicável.</w:t>
      </w:r>
    </w:p>
    <w:p>
      <w:pPr>
        <w:pStyle w:val="ListBullet"/>
        <w:spacing w:after="60"/>
        <w:ind w:left="397"/>
        <w:jc w:val="both"/>
      </w:pPr>
      <w:r>
        <w:rPr>
          <w:rFonts w:ascii="Calibri" w:hAnsi="Calibri"/>
          <w:color w:val="1A1A1A"/>
          <w:sz w:val="24"/>
        </w:rPr>
        <w:t>☐  Histórico de procedimentos estéticos prévios na face, com produto, região e época, na medida em que o paciente souber informar.</w:t>
      </w:r>
    </w:p>
    <w:p>
      <w:pPr>
        <w:pStyle w:val="ListBullet"/>
        <w:spacing w:after="60"/>
        <w:ind w:left="397"/>
        <w:jc w:val="both"/>
      </w:pPr>
      <w:r>
        <w:rPr>
          <w:rFonts w:ascii="Calibri" w:hAnsi="Calibri"/>
          <w:color w:val="1A1A1A"/>
          <w:sz w:val="24"/>
        </w:rPr>
        <w:t>☐  Antecedente de evento adverso em procedimento anterior.</w:t>
      </w:r>
    </w:p>
    <w:p>
      <w:pPr>
        <w:pStyle w:val="ListBullet"/>
        <w:spacing w:after="60"/>
        <w:ind w:left="397"/>
        <w:jc w:val="both"/>
      </w:pPr>
      <w:r>
        <w:rPr>
          <w:rFonts w:ascii="Calibri" w:hAnsi="Calibri"/>
          <w:color w:val="1A1A1A"/>
          <w:sz w:val="24"/>
        </w:rPr>
        <w:t>☐  Expectativa do paciente registrada com as palavras dele.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exame clínico da face, com avaliação estática e dinâmica.</w:t>
      </w:r>
    </w:p>
    <w:p>
      <w:pPr>
        <w:pStyle w:val="ListNumber"/>
        <w:spacing w:after="60"/>
        <w:ind w:left="397"/>
        <w:jc w:val="both"/>
      </w:pPr>
      <w:r>
        <w:rPr>
          <w:rFonts w:ascii="Calibri" w:hAnsi="Calibri"/>
          <w:color w:val="1A1A1A"/>
          <w:sz w:val="24"/>
        </w:rPr>
        <w:t>Registrar achados relevantes, assimetrias preexistentes e limitações anatômicas.</w:t>
      </w:r>
    </w:p>
    <w:p>
      <w:pPr>
        <w:pStyle w:val="ListNumber"/>
        <w:spacing w:after="60"/>
        <w:ind w:left="397"/>
        <w:jc w:val="both"/>
      </w:pPr>
      <w:r>
        <w:rPr>
          <w:rFonts w:ascii="Calibri" w:hAnsi="Calibri"/>
          <w:color w:val="1A1A1A"/>
          <w:sz w:val="24"/>
        </w:rPr>
        <w:t>Realizar documentação fotográfica padronizada conforme o POP-N5-12.</w:t>
      </w:r>
    </w:p>
    <w:p>
      <w:pPr>
        <w:pStyle w:val="ListNumber"/>
        <w:spacing w:after="60"/>
        <w:ind w:left="397"/>
        <w:jc w:val="both"/>
      </w:pPr>
      <w:r>
        <w:rPr>
          <w:rFonts w:ascii="Calibri" w:hAnsi="Calibri"/>
          <w:color w:val="1A1A1A"/>
          <w:sz w:val="24"/>
        </w:rPr>
        <w:t>Definir hipótese, objetivos realistas e plano de tratamento individualizado, incluindo alternativas e a opção de não tratar.</w:t>
      </w:r>
    </w:p>
    <w:p>
      <w:pPr>
        <w:pStyle w:val="ListNumber"/>
        <w:spacing w:after="60"/>
        <w:ind w:left="397"/>
        <w:jc w:val="both"/>
      </w:pPr>
      <w:r>
        <w:rPr>
          <w:rFonts w:ascii="Calibri" w:hAnsi="Calibri"/>
          <w:color w:val="1A1A1A"/>
          <w:sz w:val="24"/>
        </w:rPr>
        <w:t>Discutir riscos previsíveis, sinais de alerta e conduta esperada do paciente diante de cada sinal.</w:t>
      </w:r>
    </w:p>
    <w:p>
      <w:pPr>
        <w:pStyle w:val="ListNumber"/>
        <w:spacing w:after="60"/>
        <w:ind w:left="397"/>
        <w:jc w:val="both"/>
      </w:pPr>
      <w:r>
        <w:rPr>
          <w:rFonts w:ascii="Calibri" w:hAnsi="Calibri"/>
          <w:color w:val="1A1A1A"/>
          <w:sz w:val="24"/>
        </w:rPr>
        <w:t>Obter consentimento específico por procedimento, assinado, e consentimento separado para uso de imagem quando houver.</w:t>
      </w:r>
    </w:p>
    <w:p>
      <w:pPr>
        <w:pStyle w:val="ListNumber"/>
        <w:spacing w:after="60"/>
        <w:ind w:left="397"/>
        <w:jc w:val="both"/>
      </w:pPr>
      <w:r>
        <w:rPr>
          <w:rFonts w:ascii="Calibri" w:hAnsi="Calibri"/>
          <w:color w:val="1A1A1A"/>
          <w:sz w:val="24"/>
        </w:rPr>
        <w:t>Definir cronograma, número de sessões previstas e critérios de reavaliação.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Expectativa incompatível com o resultado tecnicamente possível.</w:t>
      </w:r>
    </w:p>
    <w:p>
      <w:pPr>
        <w:pStyle w:val="ListBullet"/>
        <w:spacing w:after="60"/>
        <w:ind w:left="397"/>
        <w:jc w:val="both"/>
      </w:pPr>
      <w:r>
        <w:rPr>
          <w:rFonts w:ascii="Calibri" w:hAnsi="Calibri"/>
          <w:color w:val="1A1A1A"/>
          <w:sz w:val="24"/>
        </w:rPr>
        <w:t>Sinais de transtorno relacionado à imagem corporal, insistência em correções sucessivas de alterações mínimas ou histórico de insatisfação com múltiplos profissionais.</w:t>
      </w:r>
    </w:p>
    <w:p>
      <w:pPr>
        <w:pStyle w:val="ListBullet"/>
        <w:spacing w:after="60"/>
        <w:ind w:left="397"/>
        <w:jc w:val="both"/>
      </w:pPr>
      <w:r>
        <w:rPr>
          <w:rFonts w:ascii="Calibri" w:hAnsi="Calibri"/>
          <w:color w:val="1A1A1A"/>
          <w:sz w:val="24"/>
        </w:rPr>
        <w:t>Comorbidade descompensada, infecção ativa na região ou uso de medicação que altere risco hemorrágico ou cicatricial.</w:t>
      </w:r>
    </w:p>
    <w:p>
      <w:pPr>
        <w:pStyle w:val="ListBullet"/>
        <w:spacing w:after="60"/>
        <w:ind w:left="397"/>
        <w:jc w:val="both"/>
      </w:pPr>
      <w:r>
        <w:rPr>
          <w:rFonts w:ascii="Calibri" w:hAnsi="Calibri"/>
          <w:color w:val="1A1A1A"/>
          <w:sz w:val="24"/>
        </w:rPr>
        <w:t>Impossibilidade de identificar o produto previamente aplicado na região pretendida.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Não se aplica intercorrência durante a consulta. Caso qualquer sinal de alerta esteja presente, o plano não deve ser iniciado: registrar o achado, orientar o paciente, encaminhar quando indicado e reavaliar em nova consulta.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Anamnese completa, com resposta a cada item, inclusive as negativas.</w:t>
      </w:r>
    </w:p>
    <w:p>
      <w:pPr>
        <w:pStyle w:val="ListBullet"/>
        <w:spacing w:after="60"/>
        <w:ind w:left="397"/>
        <w:jc w:val="both"/>
      </w:pPr>
      <w:r>
        <w:rPr>
          <w:rFonts w:ascii="Calibri" w:hAnsi="Calibri"/>
          <w:color w:val="1A1A1A"/>
          <w:sz w:val="24"/>
        </w:rPr>
        <w:t>Exame clínico, achados e assimetrias preexistentes.</w:t>
      </w:r>
    </w:p>
    <w:p>
      <w:pPr>
        <w:pStyle w:val="ListBullet"/>
        <w:spacing w:after="60"/>
        <w:ind w:left="397"/>
        <w:jc w:val="both"/>
      </w:pPr>
      <w:r>
        <w:rPr>
          <w:rFonts w:ascii="Calibri" w:hAnsi="Calibri"/>
          <w:color w:val="1A1A1A"/>
          <w:sz w:val="24"/>
        </w:rPr>
        <w:t>Plano proposto, alternativas discutidas e decisão do paciente.</w:t>
      </w:r>
    </w:p>
    <w:p>
      <w:pPr>
        <w:pStyle w:val="ListBullet"/>
        <w:spacing w:after="60"/>
        <w:ind w:left="397"/>
        <w:jc w:val="both"/>
      </w:pPr>
      <w:r>
        <w:rPr>
          <w:rFonts w:ascii="Calibri" w:hAnsi="Calibri"/>
          <w:color w:val="1A1A1A"/>
          <w:sz w:val="24"/>
        </w:rPr>
        <w:t>Termos assinados, com data e via entregue ao paciente.</w:t>
      </w:r>
    </w:p>
    <w:p>
      <w:pPr>
        <w:pStyle w:val="ListBullet"/>
        <w:spacing w:after="60"/>
        <w:ind w:left="397"/>
        <w:jc w:val="both"/>
      </w:pPr>
      <w:r>
        <w:rPr>
          <w:rFonts w:ascii="Calibri" w:hAnsi="Calibri"/>
          <w:color w:val="1A1A1A"/>
          <w:sz w:val="24"/>
        </w:rPr>
        <w:t>Fotografias com data e finalidade clínica declarada.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Entregar ao paciente cópia do plano e das orientações. Agendar a sessão seguinte apenas após o consentimento assinado. Registrar o canal de contato informado ao paciente.</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Lei nº 15.378/2026. Lei nº 13.709/2018. Resolução CFO nº 118/2012. Documentos 08 e 09 do pacote do Núcleo 5.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POP-N5-02  Aplicação de preenchedor injetável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POP-N5-02.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processo de aplicação de preenchedor injetável, da verificação prévia ao acompanhamento, com ênfase em rastreabilidade e em reconhecimento precoce de comprometimento vascular. Não define volume, plano anatômico nem técnica de aplicação, que dependem do produto escolhido, das instruções de uso e do julgamento clínico.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na Anvisa, com finalidade aprovada compatível com a região e a indicação pretendidas. Registrar número, situação, classe de risco, finalidade aprovada, data da consulta e responsável pela verificação. Uso fora da indicação aprovada exige o tratamento previsto no Manual de Boas Práticas, com justificativa, informação específica ao paciente e registro reforçado.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a técnica e para o manejo das intercorrências previsíveis, incluindo o POP-N5-05 e o POP-N5-06.</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material de antissepsia; agulhas ou cânulas conforme instrução de uso; equipamento de proteção individual; recursos de resposta a intercorrência conferidos conforme o POP-N5-09; prontuário e etiqueta ou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para este procedimento e para esta sessão.</w:t>
      </w:r>
    </w:p>
    <w:p>
      <w:pPr>
        <w:pStyle w:val="ListBullet"/>
        <w:spacing w:after="60"/>
        <w:ind w:left="397"/>
        <w:jc w:val="both"/>
      </w:pPr>
      <w:r>
        <w:rPr>
          <w:rFonts w:ascii="Calibri" w:hAnsi="Calibri"/>
          <w:color w:val="1A1A1A"/>
          <w:sz w:val="24"/>
        </w:rPr>
        <w:t>☐  Plano de tratamento vigente e compatível com a indicação registrada.</w:t>
      </w:r>
    </w:p>
    <w:p>
      <w:pPr>
        <w:pStyle w:val="ListBullet"/>
        <w:spacing w:after="60"/>
        <w:ind w:left="397"/>
        <w:jc w:val="both"/>
      </w:pPr>
      <w:r>
        <w:rPr>
          <w:rFonts w:ascii="Calibri" w:hAnsi="Calibri"/>
          <w:color w:val="1A1A1A"/>
          <w:sz w:val="24"/>
        </w:rPr>
        <w:t>☐  Contraindicações reavaliadas na data, incluindo infecção ativa e alteração de medicação.</w:t>
      </w:r>
    </w:p>
    <w:p>
      <w:pPr>
        <w:pStyle w:val="ListBullet"/>
        <w:spacing w:after="60"/>
        <w:ind w:left="397"/>
        <w:jc w:val="both"/>
      </w:pPr>
      <w:r>
        <w:rPr>
          <w:rFonts w:ascii="Calibri" w:hAnsi="Calibri"/>
          <w:color w:val="1A1A1A"/>
          <w:sz w:val="24"/>
        </w:rPr>
        <w:t>☐  Produto conferido: identificação, integridade da embalagem, lote e validade.</w:t>
      </w:r>
    </w:p>
    <w:p>
      <w:pPr>
        <w:pStyle w:val="ListBullet"/>
        <w:spacing w:after="60"/>
        <w:ind w:left="397"/>
        <w:jc w:val="both"/>
      </w:pPr>
      <w:r>
        <w:rPr>
          <w:rFonts w:ascii="Calibri" w:hAnsi="Calibri"/>
          <w:color w:val="1A1A1A"/>
          <w:sz w:val="24"/>
        </w:rPr>
        <w:t>☐  Recursos de resposta a intercorrência disponíveis, acessíveis e dentro da validade.</w:t>
      </w:r>
    </w:p>
    <w:p>
      <w:pPr>
        <w:pStyle w:val="ListBullet"/>
        <w:spacing w:after="60"/>
        <w:ind w:left="397"/>
        <w:jc w:val="both"/>
      </w:pPr>
      <w:r>
        <w:rPr>
          <w:rFonts w:ascii="Calibri" w:hAnsi="Calibri"/>
          <w:color w:val="1A1A1A"/>
          <w:sz w:val="24"/>
        </w:rPr>
        <w:t>☐  Rota de encaminhamento de urgência, inclusive oftalmológica e neurológica, acessível.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 confirmando paciente, procedimento, região e lado em voz alta.</w:t>
      </w:r>
    </w:p>
    <w:p>
      <w:pPr>
        <w:pStyle w:val="ListNumber"/>
        <w:spacing w:after="60"/>
        <w:ind w:left="397"/>
        <w:jc w:val="both"/>
      </w:pPr>
      <w:r>
        <w:rPr>
          <w:rFonts w:ascii="Calibri" w:hAnsi="Calibri"/>
          <w:color w:val="1A1A1A"/>
          <w:sz w:val="24"/>
        </w:rPr>
        <w:t>Realizar antissepsia da região conforme rotina do serviço.</w:t>
      </w:r>
    </w:p>
    <w:p>
      <w:pPr>
        <w:pStyle w:val="ListNumber"/>
        <w:spacing w:after="60"/>
        <w:ind w:left="397"/>
        <w:jc w:val="both"/>
      </w:pPr>
      <w:r>
        <w:rPr>
          <w:rFonts w:ascii="Calibri" w:hAnsi="Calibri"/>
          <w:color w:val="1A1A1A"/>
          <w:sz w:val="24"/>
        </w:rPr>
        <w:t>Aplicar o produto segundo as instruções de uso do fabricante e o planejamento, observando os parâmetros registrados no campo de preenchimento do serviço.</w:t>
      </w:r>
    </w:p>
    <w:p>
      <w:pPr>
        <w:pStyle w:val="ListNumber"/>
        <w:spacing w:after="60"/>
        <w:ind w:left="397"/>
        <w:jc w:val="both"/>
      </w:pPr>
      <w:r>
        <w:rPr>
          <w:rFonts w:ascii="Calibri" w:hAnsi="Calibri"/>
          <w:color w:val="1A1A1A"/>
          <w:sz w:val="24"/>
        </w:rPr>
        <w:t>Manter comunicação ativa com o paciente durante a aplicação, perguntando sobre dor desproporcional e alteração visual.</w:t>
      </w:r>
    </w:p>
    <w:p>
      <w:pPr>
        <w:pStyle w:val="ListNumber"/>
        <w:spacing w:after="60"/>
        <w:ind w:left="397"/>
        <w:jc w:val="both"/>
      </w:pPr>
      <w:r>
        <w:rPr>
          <w:rFonts w:ascii="Calibri" w:hAnsi="Calibri"/>
          <w:color w:val="1A1A1A"/>
          <w:sz w:val="24"/>
        </w:rPr>
        <w:t>Observar continuamente cor, perfusão e enchimento capilar da região e do território vascular correspondente.</w:t>
      </w:r>
    </w:p>
    <w:p>
      <w:pPr>
        <w:pStyle w:val="ListNumber"/>
        <w:spacing w:after="60"/>
        <w:ind w:left="397"/>
        <w:jc w:val="both"/>
      </w:pPr>
      <w:r>
        <w:rPr>
          <w:rFonts w:ascii="Calibri" w:hAnsi="Calibri"/>
          <w:color w:val="1A1A1A"/>
          <w:sz w:val="24"/>
        </w:rPr>
        <w:t>Interromper imediatamente diante de qualquer sinal de alerta e registrar o horário.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Dor desproporcional ao procedimento.</w:t>
      </w:r>
    </w:p>
    <w:p>
      <w:pPr>
        <w:pStyle w:val="ListBullet"/>
        <w:spacing w:after="60"/>
        <w:ind w:left="397"/>
        <w:jc w:val="both"/>
      </w:pPr>
      <w:r>
        <w:rPr>
          <w:rFonts w:ascii="Calibri" w:hAnsi="Calibri"/>
          <w:color w:val="1A1A1A"/>
          <w:sz w:val="24"/>
        </w:rPr>
        <w:t>Palidez, livedo reticular ou alteração progressiva de cor e perfusão.</w:t>
      </w:r>
    </w:p>
    <w:p>
      <w:pPr>
        <w:pStyle w:val="ListBullet"/>
        <w:spacing w:after="60"/>
        <w:ind w:left="397"/>
        <w:jc w:val="both"/>
      </w:pPr>
      <w:r>
        <w:rPr>
          <w:rFonts w:ascii="Calibri" w:hAnsi="Calibri"/>
          <w:color w:val="1A1A1A"/>
          <w:sz w:val="24"/>
        </w:rPr>
        <w:t>Dor ocular, alteração ou perda visual, ptose ou oftalmoplegia.</w:t>
      </w:r>
    </w:p>
    <w:p>
      <w:pPr>
        <w:pStyle w:val="ListBullet"/>
        <w:spacing w:after="60"/>
        <w:ind w:left="397"/>
        <w:jc w:val="both"/>
      </w:pPr>
      <w:r>
        <w:rPr>
          <w:rFonts w:ascii="Calibri" w:hAnsi="Calibri"/>
          <w:color w:val="1A1A1A"/>
          <w:sz w:val="24"/>
        </w:rPr>
        <w:t>Déficit neurológico ou sintoma de instalação abrupta.</w:t>
      </w:r>
    </w:p>
    <w:p>
      <w:pPr>
        <w:pStyle w:val="ListBullet"/>
        <w:spacing w:after="60"/>
        <w:ind w:left="397"/>
        <w:jc w:val="both"/>
      </w:pPr>
      <w:r>
        <w:rPr>
          <w:rFonts w:ascii="Calibri" w:hAnsi="Calibri"/>
          <w:color w:val="1A1A1A"/>
          <w:sz w:val="24"/>
        </w:rPr>
        <w:t>Resistência anormal à injeção ou dificuldade inesperada de progressão.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Interromper, registrar o horário e aplicar o POP-N5-05 em suspeita de comprometimento vascular cutâneo, ou acionar encaminhamento de urgência imediato diante de ameaça visual ou neurológica, sem aguardar exame complementar. Reação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e quantidade utilizada.</w:t>
      </w:r>
    </w:p>
    <w:p>
      <w:pPr>
        <w:pStyle w:val="ListBullet"/>
        <w:spacing w:after="60"/>
        <w:ind w:left="397"/>
        <w:jc w:val="both"/>
      </w:pPr>
      <w:r>
        <w:rPr>
          <w:rFonts w:ascii="Calibri" w:hAnsi="Calibri"/>
          <w:color w:val="1A1A1A"/>
          <w:sz w:val="24"/>
        </w:rPr>
        <w:t>Região, lado, plano e técnica empregada.</w:t>
      </w:r>
    </w:p>
    <w:p>
      <w:pPr>
        <w:pStyle w:val="ListBullet"/>
        <w:spacing w:after="60"/>
        <w:ind w:left="397"/>
        <w:jc w:val="both"/>
      </w:pPr>
      <w:r>
        <w:rPr>
          <w:rFonts w:ascii="Calibri" w:hAnsi="Calibri"/>
          <w:color w:val="1A1A1A"/>
          <w:sz w:val="24"/>
        </w:rPr>
        <w:t>Parâmetros efetivamente utilizados na sessão.</w:t>
      </w:r>
    </w:p>
    <w:p>
      <w:pPr>
        <w:pStyle w:val="ListBullet"/>
        <w:spacing w:after="60"/>
        <w:ind w:left="397"/>
        <w:jc w:val="both"/>
      </w:pPr>
      <w:r>
        <w:rPr>
          <w:rFonts w:ascii="Calibri" w:hAnsi="Calibri"/>
          <w:color w:val="1A1A1A"/>
          <w:sz w:val="24"/>
        </w:rPr>
        <w:t>Intercorrências, horários e condutas.</w:t>
      </w:r>
    </w:p>
    <w:p>
      <w:pPr>
        <w:pStyle w:val="ListBullet"/>
        <w:spacing w:after="60"/>
        <w:ind w:left="397"/>
        <w:jc w:val="both"/>
      </w:pPr>
      <w:r>
        <w:rPr>
          <w:rFonts w:ascii="Calibri" w:hAnsi="Calibri"/>
          <w:color w:val="1A1A1A"/>
          <w:sz w:val="24"/>
        </w:rPr>
        <w:t>Orientação entregue e retorno agendado.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Entregar orientação escrita com sinais de alerta em linguagem leiga, canal e horário de contato, e conduta caso o profissional não seja localizado. Programar contato ativo conforme o risco. Reavaliar na data definida.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07, 08 e 09 do pacote. Literatura verificada citada no documento 12.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POP-N5-03  Aplicação de bioestimulador de colágeno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POP-N5-03.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aplicação de bioestimulador injetável, com ênfase em rastreabilidade, preparo conforme instrução de uso e acompanhamento de eventos tardios. Não define diluição, volume nem técnica, que dependem do produto e das instruções do fabricante.</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com finalidade aprovada compatível com a região pretendida. Registrar número, situação, finalidade, data da consulta e responsável. Atenção específica ao tempo e ao método de reconstituição previstos na instrução de uso, quando aplicável.</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a técnica e para o manejo de nódulos e eventos inflamatórios tardios, conforme o POP-N5-07.</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diluente conforme instrução de uso; material de antissepsia; agulhas ou cânulas; equipamento de proteção individual; recursos de resposta a intercorrência;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registro de que eventos tardios são possíveis.</w:t>
      </w:r>
    </w:p>
    <w:p>
      <w:pPr>
        <w:pStyle w:val="ListBullet"/>
        <w:spacing w:after="60"/>
        <w:ind w:left="397"/>
        <w:jc w:val="both"/>
      </w:pPr>
      <w:r>
        <w:rPr>
          <w:rFonts w:ascii="Calibri" w:hAnsi="Calibri"/>
          <w:color w:val="1A1A1A"/>
          <w:sz w:val="24"/>
        </w:rPr>
        <w:t>☐  Contraindicações reavaliadas, incluindo infecção ativa e doença inflamatória em atividade.</w:t>
      </w:r>
    </w:p>
    <w:p>
      <w:pPr>
        <w:pStyle w:val="ListBullet"/>
        <w:spacing w:after="60"/>
        <w:ind w:left="397"/>
        <w:jc w:val="both"/>
      </w:pPr>
      <w:r>
        <w:rPr>
          <w:rFonts w:ascii="Calibri" w:hAnsi="Calibri"/>
          <w:color w:val="1A1A1A"/>
          <w:sz w:val="24"/>
        </w:rPr>
        <w:t>☐  Reconstituição realizada conforme instrução de uso, com registro do horário de preparo e do tempo de repouso quando exigido.</w:t>
      </w:r>
    </w:p>
    <w:p>
      <w:pPr>
        <w:pStyle w:val="ListBullet"/>
        <w:spacing w:after="60"/>
        <w:ind w:left="397"/>
        <w:jc w:val="both"/>
      </w:pPr>
      <w:r>
        <w:rPr>
          <w:rFonts w:ascii="Calibri" w:hAnsi="Calibri"/>
          <w:color w:val="1A1A1A"/>
          <w:sz w:val="24"/>
        </w:rPr>
        <w:t>☐  Produto conferido: identificação, integridade, lote e validade.</w:t>
      </w:r>
    </w:p>
    <w:p>
      <w:pPr>
        <w:pStyle w:val="ListBullet"/>
        <w:spacing w:after="60"/>
        <w:ind w:left="397"/>
        <w:jc w:val="both"/>
      </w:pPr>
      <w:r>
        <w:rPr>
          <w:rFonts w:ascii="Calibri" w:hAnsi="Calibri"/>
          <w:color w:val="1A1A1A"/>
          <w:sz w:val="24"/>
        </w:rPr>
        <w:t>☐  Recursos de resposta a intercorrência disponíveis e conferidos.</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w:t>
      </w:r>
    </w:p>
    <w:p>
      <w:pPr>
        <w:pStyle w:val="ListNumber"/>
        <w:spacing w:after="60"/>
        <w:ind w:left="397"/>
        <w:jc w:val="both"/>
      </w:pPr>
      <w:r>
        <w:rPr>
          <w:rFonts w:ascii="Calibri" w:hAnsi="Calibri"/>
          <w:color w:val="1A1A1A"/>
          <w:sz w:val="24"/>
        </w:rPr>
        <w:t>Realizar antissepsia conforme rotina do serviço.</w:t>
      </w:r>
    </w:p>
    <w:p>
      <w:pPr>
        <w:pStyle w:val="ListNumber"/>
        <w:spacing w:after="60"/>
        <w:ind w:left="397"/>
        <w:jc w:val="both"/>
      </w:pPr>
      <w:r>
        <w:rPr>
          <w:rFonts w:ascii="Calibri" w:hAnsi="Calibri"/>
          <w:color w:val="1A1A1A"/>
          <w:sz w:val="24"/>
        </w:rPr>
        <w:t>Aplicar conforme instruções de uso e planejamento, observando os parâmetros registrados no campo de preenchimento do serviço.</w:t>
      </w:r>
    </w:p>
    <w:p>
      <w:pPr>
        <w:pStyle w:val="ListNumber"/>
        <w:spacing w:after="60"/>
        <w:ind w:left="397"/>
        <w:jc w:val="both"/>
      </w:pPr>
      <w:r>
        <w:rPr>
          <w:rFonts w:ascii="Calibri" w:hAnsi="Calibri"/>
          <w:color w:val="1A1A1A"/>
          <w:sz w:val="24"/>
        </w:rPr>
        <w:t>Distribuir o produto de forma homogênea segundo a técnica adotada, evitando acúmulo concentrado.</w:t>
      </w:r>
    </w:p>
    <w:p>
      <w:pPr>
        <w:pStyle w:val="ListNumber"/>
        <w:spacing w:after="60"/>
        <w:ind w:left="397"/>
        <w:jc w:val="both"/>
      </w:pPr>
      <w:r>
        <w:rPr>
          <w:rFonts w:ascii="Calibri" w:hAnsi="Calibri"/>
          <w:color w:val="1A1A1A"/>
          <w:sz w:val="24"/>
        </w:rPr>
        <w:t>Observar sinais de comprometimento vascular durante toda a aplicação.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Dor desproporcional, palidez ou alteração de perfusão.</w:t>
      </w:r>
    </w:p>
    <w:p>
      <w:pPr>
        <w:pStyle w:val="ListBullet"/>
        <w:spacing w:after="60"/>
        <w:ind w:left="397"/>
        <w:jc w:val="both"/>
      </w:pPr>
      <w:r>
        <w:rPr>
          <w:rFonts w:ascii="Calibri" w:hAnsi="Calibri"/>
          <w:color w:val="1A1A1A"/>
          <w:sz w:val="24"/>
        </w:rPr>
        <w:t>Resistência anormal à injeção.</w:t>
      </w:r>
    </w:p>
    <w:p>
      <w:pPr>
        <w:pStyle w:val="ListBullet"/>
        <w:spacing w:after="60"/>
        <w:ind w:left="397"/>
        <w:jc w:val="both"/>
      </w:pPr>
      <w:r>
        <w:rPr>
          <w:rFonts w:ascii="Calibri" w:hAnsi="Calibri"/>
          <w:color w:val="1A1A1A"/>
          <w:sz w:val="24"/>
        </w:rPr>
        <w:t>Formação de elevação localizada durante a aplicação.</w:t>
      </w:r>
    </w:p>
    <w:p>
      <w:pPr>
        <w:pStyle w:val="ListBullet"/>
        <w:spacing w:after="60"/>
        <w:ind w:left="397"/>
        <w:jc w:val="both"/>
      </w:pPr>
      <w:r>
        <w:rPr>
          <w:rFonts w:ascii="Calibri" w:hAnsi="Calibri"/>
          <w:color w:val="1A1A1A"/>
          <w:sz w:val="24"/>
        </w:rPr>
        <w:t>Sinais visuais ou neurológicos, que exigem encaminhamento imediato.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vascular segue o POP-N5-05. Nódulo ou evento inflamatório posterior segue o POP-N5-07. Reação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diluição e volume por região.</w:t>
      </w:r>
    </w:p>
    <w:p>
      <w:pPr>
        <w:pStyle w:val="ListBullet"/>
        <w:spacing w:after="60"/>
        <w:ind w:left="397"/>
        <w:jc w:val="both"/>
      </w:pPr>
      <w:r>
        <w:rPr>
          <w:rFonts w:ascii="Calibri" w:hAnsi="Calibri"/>
          <w:color w:val="1A1A1A"/>
          <w:sz w:val="24"/>
        </w:rPr>
        <w:t>Horário de reconstituição e tempo de repouso, quando exigido pela instrução de uso.</w:t>
      </w:r>
    </w:p>
    <w:p>
      <w:pPr>
        <w:pStyle w:val="ListBullet"/>
        <w:spacing w:after="60"/>
        <w:ind w:left="397"/>
        <w:jc w:val="both"/>
      </w:pPr>
      <w:r>
        <w:rPr>
          <w:rFonts w:ascii="Calibri" w:hAnsi="Calibri"/>
          <w:color w:val="1A1A1A"/>
          <w:sz w:val="24"/>
        </w:rPr>
        <w:t>Região, lado, plano e técnica.</w:t>
      </w:r>
    </w:p>
    <w:p>
      <w:pPr>
        <w:pStyle w:val="ListBullet"/>
        <w:spacing w:after="60"/>
        <w:ind w:left="397"/>
        <w:jc w:val="both"/>
      </w:pPr>
      <w:r>
        <w:rPr>
          <w:rFonts w:ascii="Calibri" w:hAnsi="Calibri"/>
          <w:color w:val="1A1A1A"/>
          <w:sz w:val="24"/>
        </w:rPr>
        <w:t>Intercorrências, horários e condutas.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Orientar por escrito sobre evolução esperada, tempo até o resultado, cuidados locais e sinais que exigem contato. Informar expressamente que eventos podem surgir semanas ou meses depois e que o contato deve ocorrer mesmo tardiamente. Agendar reavaliação.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07 e 08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POP-N5-04  Aplicação de toxina botulínica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POP-N5-04.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processo de aplicação de toxina botulínica, com ênfase em reconstituição controlada, rastreabilidade e orientação sobre efeitos adversos previsíveis. Não define dose, diluição nem pontos de aplicação, que dependem do produto e do planejamento individual.</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com finalidade aprovada compatível com a indicação pretendida. Registrar número, situação, finalidade, data da consulta e responsável. Observar as condições de armazenamento e de reconstituição previstas na instrução de uso.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anatomia da musculatura facial e na técnica empregada.</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diluente conforme instrução de uso; seringas e agulhas compatíveis; material de antissepsia; equipamento de proteção individual; condições de refrigeração conforme rotulagem;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registro dos efeitos adversos previsíveis.</w:t>
      </w:r>
    </w:p>
    <w:p>
      <w:pPr>
        <w:pStyle w:val="ListBullet"/>
        <w:spacing w:after="60"/>
        <w:ind w:left="397"/>
        <w:jc w:val="both"/>
      </w:pPr>
      <w:r>
        <w:rPr>
          <w:rFonts w:ascii="Calibri" w:hAnsi="Calibri"/>
          <w:color w:val="1A1A1A"/>
          <w:sz w:val="24"/>
        </w:rPr>
        <w:t>☐  Contraindicações reavaliadas, incluindo doença neuromuscular conhecida, gestação, lactação e infecção no local de aplicação.</w:t>
      </w:r>
    </w:p>
    <w:p>
      <w:pPr>
        <w:pStyle w:val="ListBullet"/>
        <w:spacing w:after="60"/>
        <w:ind w:left="397"/>
        <w:jc w:val="both"/>
      </w:pPr>
      <w:r>
        <w:rPr>
          <w:rFonts w:ascii="Calibri" w:hAnsi="Calibri"/>
          <w:color w:val="1A1A1A"/>
          <w:sz w:val="24"/>
        </w:rPr>
        <w:t>☐  Medicações em uso reavaliadas quanto a interação relevante.</w:t>
      </w:r>
    </w:p>
    <w:p>
      <w:pPr>
        <w:pStyle w:val="ListBullet"/>
        <w:spacing w:after="60"/>
        <w:ind w:left="397"/>
        <w:jc w:val="both"/>
      </w:pPr>
      <w:r>
        <w:rPr>
          <w:rFonts w:ascii="Calibri" w:hAnsi="Calibri"/>
          <w:color w:val="1A1A1A"/>
          <w:sz w:val="24"/>
        </w:rPr>
        <w:t>☐  Cadeia de conservação verificada, com registro da temperatura quando o serviço a monitorar.</w:t>
      </w:r>
    </w:p>
    <w:p>
      <w:pPr>
        <w:pStyle w:val="ListBullet"/>
        <w:spacing w:after="60"/>
        <w:ind w:left="397"/>
        <w:jc w:val="both"/>
      </w:pPr>
      <w:r>
        <w:rPr>
          <w:rFonts w:ascii="Calibri" w:hAnsi="Calibri"/>
          <w:color w:val="1A1A1A"/>
          <w:sz w:val="24"/>
        </w:rPr>
        <w:t>☐  Reconstituição realizada conforme instrução de uso, com registro de diluição e horário.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w:t>
      </w:r>
    </w:p>
    <w:p>
      <w:pPr>
        <w:pStyle w:val="ListNumber"/>
        <w:spacing w:after="60"/>
        <w:ind w:left="397"/>
        <w:jc w:val="both"/>
      </w:pPr>
      <w:r>
        <w:rPr>
          <w:rFonts w:ascii="Calibri" w:hAnsi="Calibri"/>
          <w:color w:val="1A1A1A"/>
          <w:sz w:val="24"/>
        </w:rPr>
        <w:t>Marcar os pontos conforme planejamento e avaliação dinâmica da musculatura.</w:t>
      </w:r>
    </w:p>
    <w:p>
      <w:pPr>
        <w:pStyle w:val="ListNumber"/>
        <w:spacing w:after="60"/>
        <w:ind w:left="397"/>
        <w:jc w:val="both"/>
      </w:pPr>
      <w:r>
        <w:rPr>
          <w:rFonts w:ascii="Calibri" w:hAnsi="Calibri"/>
          <w:color w:val="1A1A1A"/>
          <w:sz w:val="24"/>
        </w:rPr>
        <w:t>Realizar antissepsia conforme rotina do serviço.</w:t>
      </w:r>
    </w:p>
    <w:p>
      <w:pPr>
        <w:pStyle w:val="ListNumber"/>
        <w:spacing w:after="60"/>
        <w:ind w:left="397"/>
        <w:jc w:val="both"/>
      </w:pPr>
      <w:r>
        <w:rPr>
          <w:rFonts w:ascii="Calibri" w:hAnsi="Calibri"/>
          <w:color w:val="1A1A1A"/>
          <w:sz w:val="24"/>
        </w:rPr>
        <w:t>Aplicar conforme instruções de uso e planejamento, observando os parâmetros registrados no campo de preenchimento do serviço.</w:t>
      </w:r>
    </w:p>
    <w:p>
      <w:pPr>
        <w:pStyle w:val="ListNumber"/>
        <w:spacing w:after="60"/>
        <w:ind w:left="397"/>
        <w:jc w:val="both"/>
      </w:pPr>
      <w:r>
        <w:rPr>
          <w:rFonts w:ascii="Calibri" w:hAnsi="Calibri"/>
          <w:color w:val="1A1A1A"/>
          <w:sz w:val="24"/>
        </w:rPr>
        <w:t>Registrar imediatamente a quantidade aplicada por ponto e por região.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Sinais de reação de hipersensibilidade durante ou após a aplicação.</w:t>
      </w:r>
    </w:p>
    <w:p>
      <w:pPr>
        <w:pStyle w:val="ListBullet"/>
        <w:spacing w:after="60"/>
        <w:ind w:left="397"/>
        <w:jc w:val="both"/>
      </w:pPr>
      <w:r>
        <w:rPr>
          <w:rFonts w:ascii="Calibri" w:hAnsi="Calibri"/>
          <w:color w:val="1A1A1A"/>
          <w:sz w:val="24"/>
        </w:rPr>
        <w:t>Sangramento ou hematoma em expansão.</w:t>
      </w:r>
    </w:p>
    <w:p>
      <w:pPr>
        <w:pStyle w:val="ListBullet"/>
        <w:spacing w:after="60"/>
        <w:ind w:left="397"/>
        <w:jc w:val="both"/>
      </w:pPr>
      <w:r>
        <w:rPr>
          <w:rFonts w:ascii="Calibri" w:hAnsi="Calibri"/>
          <w:color w:val="1A1A1A"/>
          <w:sz w:val="24"/>
        </w:rPr>
        <w:t>Queixa de alteração visual imediata.</w:t>
      </w:r>
    </w:p>
    <w:p>
      <w:pPr>
        <w:pStyle w:val="ListBullet"/>
        <w:spacing w:after="60"/>
        <w:ind w:left="397"/>
        <w:jc w:val="both"/>
      </w:pPr>
      <w:r>
        <w:rPr>
          <w:rFonts w:ascii="Calibri" w:hAnsi="Calibri"/>
          <w:color w:val="1A1A1A"/>
          <w:sz w:val="24"/>
        </w:rPr>
        <w:t>Assimetria ou ptose relatada no acompanhamento, que exige registro e orientação.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Reação sistêmica segue o POP-N5-10. Efeito adverso funcional, como ptose ou assimetria, deve ser registrado, explicado ao paciente quanto ao caráter temporário esperado, acompanhado e, quando pertinente, notificado como evento adverso conforme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concentração e diluição utilizada.</w:t>
      </w:r>
    </w:p>
    <w:p>
      <w:pPr>
        <w:pStyle w:val="ListBullet"/>
        <w:spacing w:after="60"/>
        <w:ind w:left="397"/>
        <w:jc w:val="both"/>
      </w:pPr>
      <w:r>
        <w:rPr>
          <w:rFonts w:ascii="Calibri" w:hAnsi="Calibri"/>
          <w:color w:val="1A1A1A"/>
          <w:sz w:val="24"/>
        </w:rPr>
        <w:t>Quantidade aplicada por ponto e por região, com esquema anotado.</w:t>
      </w:r>
    </w:p>
    <w:p>
      <w:pPr>
        <w:pStyle w:val="ListBullet"/>
        <w:spacing w:after="60"/>
        <w:ind w:left="397"/>
        <w:jc w:val="both"/>
      </w:pPr>
      <w:r>
        <w:rPr>
          <w:rFonts w:ascii="Calibri" w:hAnsi="Calibri"/>
          <w:color w:val="1A1A1A"/>
          <w:sz w:val="24"/>
        </w:rPr>
        <w:t>Data e horário da reconstituição e da aplicação.</w:t>
      </w:r>
    </w:p>
    <w:p>
      <w:pPr>
        <w:pStyle w:val="ListBullet"/>
        <w:spacing w:after="60"/>
        <w:ind w:left="397"/>
        <w:jc w:val="both"/>
      </w:pPr>
      <w:r>
        <w:rPr>
          <w:rFonts w:ascii="Calibri" w:hAnsi="Calibri"/>
          <w:color w:val="1A1A1A"/>
          <w:sz w:val="24"/>
        </w:rPr>
        <w:t>Intercorrências e condutas.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Orientar por escrito sobre cuidados imediatos, tempo até o efeito, possibilidade de assimetria temporária e sinais que exigem contato. Agendar reavaliação no prazo definido pelo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08 e 09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POP-N5-05  Suspeita de comprometimento vascular com envolvimento cutâneo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POP-N5-05. Versão 1.0. Emissão em 26 de agosto de 2026. Próxima revisão em até doze meses. Onda de produção 1. Situação de escopo: Livre, com fonte obrigatória por afirmação.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e a resposta inicial à suspeita de comprometimento vascular com envolvimento cutâneo após procedimento injetável. Este POP organiza o processo, os horários, o escalonamento e o registro. A definição de agente, via, dose e repetição pertence ao protocolo terapêutico aprovado pelo serviço e depende da competência profissional e dos recursos disponíveis.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 conduta terapêutica adotada pelo serviço deve estar descrita em protocolo próprio, com fonte declarada e data de consulta, e ser compatível com a competência profissional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reconhecimento e manejo de intercorrência vascular. Serviço sem essa capacitação deve executar apenas as medidas de suporte cabíveis e encaminhar de imediato.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Recursos de resposta a intercorrência definidos no protocolo do serviço, conferidos conforme o POP-N5-09; cronômetro ou relógio visível; formulário de registro de evento; contato e endereço da rota de encaminhamento.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Registro do horário do primeiro sinal.</w:t>
      </w:r>
    </w:p>
    <w:p>
      <w:pPr>
        <w:pStyle w:val="ListBullet"/>
        <w:spacing w:after="60"/>
        <w:ind w:left="397"/>
        <w:jc w:val="both"/>
      </w:pPr>
      <w:r>
        <w:rPr>
          <w:rFonts w:ascii="Calibri" w:hAnsi="Calibri"/>
          <w:color w:val="1A1A1A"/>
          <w:sz w:val="24"/>
        </w:rPr>
        <w:t>☐  Confirmação de que o procedimento foi interrompido.</w:t>
      </w:r>
    </w:p>
    <w:p>
      <w:pPr>
        <w:pStyle w:val="ListBullet"/>
        <w:spacing w:after="60"/>
        <w:ind w:left="397"/>
        <w:jc w:val="both"/>
      </w:pPr>
      <w:r>
        <w:rPr>
          <w:rFonts w:ascii="Calibri" w:hAnsi="Calibri"/>
          <w:color w:val="1A1A1A"/>
          <w:sz w:val="24"/>
        </w:rPr>
        <w:t>☐  Identificação do produto aplicado, lote, região e volume.</w:t>
      </w:r>
    </w:p>
    <w:p>
      <w:pPr>
        <w:pStyle w:val="ListBullet"/>
        <w:spacing w:after="60"/>
        <w:ind w:left="397"/>
        <w:jc w:val="both"/>
      </w:pPr>
      <w:r>
        <w:rPr>
          <w:rFonts w:ascii="Calibri" w:hAnsi="Calibri"/>
          <w:color w:val="1A1A1A"/>
          <w:sz w:val="24"/>
        </w:rPr>
        <w:t>☐  Verificação de disponibilidade e validade dos recursos do protocolo do serviço.</w:t>
      </w:r>
    </w:p>
    <w:p>
      <w:pPr>
        <w:pStyle w:val="ListBullet"/>
        <w:spacing w:after="60"/>
        <w:ind w:left="397"/>
        <w:jc w:val="both"/>
      </w:pPr>
      <w:r>
        <w:rPr>
          <w:rFonts w:ascii="Calibri" w:hAnsi="Calibri"/>
          <w:color w:val="1A1A1A"/>
          <w:sz w:val="24"/>
        </w:rPr>
        <w:t>☐  Confirmação de que a rota de encaminhamento está acessível.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o procedimento e registrar o horário.</w:t>
      </w:r>
    </w:p>
    <w:p>
      <w:pPr>
        <w:pStyle w:val="ListNumber"/>
        <w:spacing w:after="60"/>
        <w:ind w:left="397"/>
        <w:jc w:val="both"/>
      </w:pPr>
      <w:r>
        <w:rPr>
          <w:rFonts w:ascii="Calibri" w:hAnsi="Calibri"/>
          <w:color w:val="1A1A1A"/>
          <w:sz w:val="24"/>
        </w:rPr>
        <w:t>Avaliar a extensão do território acometido e documentar por escrito e por imagem.</w:t>
      </w:r>
    </w:p>
    <w:p>
      <w:pPr>
        <w:pStyle w:val="ListNumber"/>
        <w:spacing w:after="60"/>
        <w:ind w:left="397"/>
        <w:jc w:val="both"/>
      </w:pPr>
      <w:r>
        <w:rPr>
          <w:rFonts w:ascii="Calibri" w:hAnsi="Calibri"/>
          <w:color w:val="1A1A1A"/>
          <w:sz w:val="24"/>
        </w:rPr>
        <w:t>Verificar ativamente a presença de sintoma visual ou neurológico. Havendo qualquer um, acionar encaminhamento de urgência sem aguardar evolução ou exame.</w:t>
      </w:r>
    </w:p>
    <w:p>
      <w:pPr>
        <w:pStyle w:val="ListNumber"/>
        <w:spacing w:after="60"/>
        <w:ind w:left="397"/>
        <w:jc w:val="both"/>
      </w:pPr>
      <w:r>
        <w:rPr>
          <w:rFonts w:ascii="Calibri" w:hAnsi="Calibri"/>
          <w:color w:val="1A1A1A"/>
          <w:sz w:val="24"/>
        </w:rPr>
        <w:t>Aplicar o protocolo terapêutico aprovado pelo serviço, registrando o horário de início.</w:t>
      </w:r>
    </w:p>
    <w:p>
      <w:pPr>
        <w:pStyle w:val="ListNumber"/>
        <w:spacing w:after="60"/>
        <w:ind w:left="397"/>
        <w:jc w:val="both"/>
      </w:pPr>
      <w:r>
        <w:rPr>
          <w:rFonts w:ascii="Calibri" w:hAnsi="Calibri"/>
          <w:color w:val="1A1A1A"/>
          <w:sz w:val="24"/>
        </w:rPr>
        <w:t>Reavaliar em intervalos curtos definidos no protocolo, registrando cada reavaliação e a resposta observada.</w:t>
      </w:r>
    </w:p>
    <w:p>
      <w:pPr>
        <w:pStyle w:val="ListNumber"/>
        <w:spacing w:after="60"/>
        <w:ind w:left="397"/>
        <w:jc w:val="both"/>
      </w:pPr>
      <w:r>
        <w:rPr>
          <w:rFonts w:ascii="Calibri" w:hAnsi="Calibri"/>
          <w:color w:val="1A1A1A"/>
          <w:sz w:val="24"/>
        </w:rPr>
        <w:t>Manter o paciente sob observação até estabilização ou até a transferência de cuidado.</w:t>
      </w:r>
    </w:p>
    <w:p>
      <w:pPr>
        <w:pStyle w:val="ListNumber"/>
        <w:spacing w:after="60"/>
        <w:ind w:left="397"/>
        <w:jc w:val="both"/>
      </w:pPr>
      <w:r>
        <w:rPr>
          <w:rFonts w:ascii="Calibri" w:hAnsi="Calibri"/>
          <w:color w:val="1A1A1A"/>
          <w:sz w:val="24"/>
        </w:rPr>
        <w:t>Definir e comunicar o plano de seguimento antes da alta.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Progressão da área acometida apesar da conduta.</w:t>
      </w:r>
    </w:p>
    <w:p>
      <w:pPr>
        <w:pStyle w:val="ListBullet"/>
        <w:spacing w:after="60"/>
        <w:ind w:left="397"/>
        <w:jc w:val="both"/>
      </w:pPr>
      <w:r>
        <w:rPr>
          <w:rFonts w:ascii="Calibri" w:hAnsi="Calibri"/>
          <w:color w:val="1A1A1A"/>
          <w:sz w:val="24"/>
        </w:rPr>
        <w:t>Surgimento de sintoma visual ou neurológico em qualquer momento.</w:t>
      </w:r>
    </w:p>
    <w:p>
      <w:pPr>
        <w:pStyle w:val="ListBullet"/>
        <w:spacing w:after="60"/>
        <w:ind w:left="397"/>
        <w:jc w:val="both"/>
      </w:pPr>
      <w:r>
        <w:rPr>
          <w:rFonts w:ascii="Calibri" w:hAnsi="Calibri"/>
          <w:color w:val="1A1A1A"/>
          <w:sz w:val="24"/>
        </w:rPr>
        <w:t>Formação de bolha, escurecimento ou sinal de necrose.</w:t>
      </w:r>
    </w:p>
    <w:p>
      <w:pPr>
        <w:pStyle w:val="ListBullet"/>
        <w:spacing w:after="60"/>
        <w:ind w:left="397"/>
        <w:jc w:val="both"/>
      </w:pPr>
      <w:r>
        <w:rPr>
          <w:rFonts w:ascii="Calibri" w:hAnsi="Calibri"/>
          <w:color w:val="1A1A1A"/>
          <w:sz w:val="24"/>
        </w:rPr>
        <w:t>Dor que se intensifica em vez de ceder.</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Diante de qualquer sinal visual ou neurológico, aplicar o POP-N5-06. Diante de instabilidade sistêmica, aplicar o POP-N5-10. A ausência de melhora no intervalo previsto pelo protocolo do serviço é critério de encaminhamento, e não de repetição indefinida da mesma conduta.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Os três horários: primeiro sinal, contato e primeira conduta.</w:t>
      </w:r>
    </w:p>
    <w:p>
      <w:pPr>
        <w:pStyle w:val="ListBullet"/>
        <w:spacing w:after="60"/>
        <w:ind w:left="397"/>
        <w:jc w:val="both"/>
      </w:pPr>
      <w:r>
        <w:rPr>
          <w:rFonts w:ascii="Calibri" w:hAnsi="Calibri"/>
          <w:color w:val="1A1A1A"/>
          <w:sz w:val="24"/>
        </w:rPr>
        <w:t>Descrição objetiva dos sinais, com fotografia sempre que possível.</w:t>
      </w:r>
    </w:p>
    <w:p>
      <w:pPr>
        <w:pStyle w:val="ListBullet"/>
        <w:spacing w:after="60"/>
        <w:ind w:left="397"/>
        <w:jc w:val="both"/>
      </w:pPr>
      <w:r>
        <w:rPr>
          <w:rFonts w:ascii="Calibri" w:hAnsi="Calibri"/>
          <w:color w:val="1A1A1A"/>
          <w:sz w:val="24"/>
        </w:rPr>
        <w:t>Conduta adotada, com horários de cada etapa e resposta observada.</w:t>
      </w:r>
    </w:p>
    <w:p>
      <w:pPr>
        <w:pStyle w:val="ListBullet"/>
        <w:spacing w:after="60"/>
        <w:ind w:left="397"/>
        <w:jc w:val="both"/>
      </w:pPr>
      <w:r>
        <w:rPr>
          <w:rFonts w:ascii="Calibri" w:hAnsi="Calibri"/>
          <w:color w:val="1A1A1A"/>
          <w:sz w:val="24"/>
        </w:rPr>
        <w:t>Encaminhamento realizado, destino e horário.</w:t>
      </w:r>
    </w:p>
    <w:p>
      <w:pPr>
        <w:pStyle w:val="ListBullet"/>
        <w:spacing w:after="60"/>
        <w:ind w:left="397"/>
        <w:jc w:val="both"/>
      </w:pPr>
      <w:r>
        <w:rPr>
          <w:rFonts w:ascii="Calibri" w:hAnsi="Calibri"/>
          <w:color w:val="1A1A1A"/>
          <w:sz w:val="24"/>
        </w:rPr>
        <w:t>Orientação escrita entregue e seguimento agendado.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Manter seguimento ativo, com reavaliações programadas e documentadas até a resolução. Avaliar a necessidade de notificação de evento adverso conforme o POP-N5-17. Revisar internamente o caso para identificar falha de processo na camada de prevenção.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Protocolo terapêutico aprovado pelo serviço, com fonte e data. Documentos 07, 08 e 12 do pacote. Literatura verificada em PubMed e registrada no documento 12, que descreve dor e alteração de cor como sinais mais prevalentes e a intervenção nas primeiras quatro a seis horas como associada a melhor prognóstico, com o desenho e as limitações ali declarados.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POP-N5-06  Suspeita de comprometimento com envolvimento oftálmico ou neurológico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POP-N5-06. Versão 1.0. Emissão em 26 de agosto de 2026. Próxima revisão em até doze meses. Onda de produção 1. Situação de escopo: Livre, com fonte obrigatória por afirmação.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resposta à suspeita de comprometimento vascular com envolvimento oftálmico ou neurológico. É o POP de maior criticidade do conjunto. Seu propósito é garantir que o encaminhamento de urgência ocorra sem qualquer atraso e que o registro permita a continuidade do cuidado.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 conduta terapêutica eventualmente adotada antes do encaminhamento deve estar descrita em protocolo próprio do serviço, com fonte declarada, e ser compatível com a competência profissional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Independentemente da capacitação, o encaminhamento de urgência é obrigatório e não pode ser substituído por conduta no consultório.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Contato e endereço do serviço oftalmológico e neurológico de referência, definidos por escrito antes do primeiro procedimento do dia; meio de transporte ou acionamento de urgência; formulário de registro; recursos previstos no protocolo do serviço.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Registro do horário do primeiro sintoma visual ou neurológico.</w:t>
      </w:r>
    </w:p>
    <w:p>
      <w:pPr>
        <w:pStyle w:val="ListBullet"/>
        <w:spacing w:after="60"/>
        <w:ind w:left="397"/>
        <w:jc w:val="both"/>
      </w:pPr>
      <w:r>
        <w:rPr>
          <w:rFonts w:ascii="Calibri" w:hAnsi="Calibri"/>
          <w:color w:val="1A1A1A"/>
          <w:sz w:val="24"/>
        </w:rPr>
        <w:t>☐  Confirmação de interrupção imediata do procedimento.</w:t>
      </w:r>
    </w:p>
    <w:p>
      <w:pPr>
        <w:pStyle w:val="ListBullet"/>
        <w:spacing w:after="60"/>
        <w:ind w:left="397"/>
        <w:jc w:val="both"/>
      </w:pPr>
      <w:r>
        <w:rPr>
          <w:rFonts w:ascii="Calibri" w:hAnsi="Calibri"/>
          <w:color w:val="1A1A1A"/>
          <w:sz w:val="24"/>
        </w:rPr>
        <w:t>☐  Rota oftalmológica e neurológica confirmada e acessível.</w:t>
      </w:r>
    </w:p>
    <w:p>
      <w:pPr>
        <w:pStyle w:val="ListBullet"/>
        <w:spacing w:after="60"/>
        <w:ind w:left="397"/>
        <w:jc w:val="both"/>
      </w:pPr>
      <w:r>
        <w:rPr>
          <w:rFonts w:ascii="Calibri" w:hAnsi="Calibri"/>
          <w:color w:val="1A1A1A"/>
          <w:sz w:val="24"/>
        </w:rPr>
        <w:t>☐  Identificação do produto, lote, região, volume e plano de aplicação.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e registrar o horário.</w:t>
      </w:r>
    </w:p>
    <w:p>
      <w:pPr>
        <w:pStyle w:val="ListNumber"/>
        <w:spacing w:after="60"/>
        <w:ind w:left="397"/>
        <w:jc w:val="both"/>
      </w:pPr>
      <w:r>
        <w:rPr>
          <w:rFonts w:ascii="Calibri" w:hAnsi="Calibri"/>
          <w:color w:val="1A1A1A"/>
          <w:sz w:val="24"/>
        </w:rPr>
        <w:t>Acionar o encaminhamento de urgência de imediato. Nenhum exame complementar, nenhuma reavaliação e nenhuma tentativa de conduta local justificam atraso.</w:t>
      </w:r>
    </w:p>
    <w:p>
      <w:pPr>
        <w:pStyle w:val="ListNumber"/>
        <w:spacing w:after="60"/>
        <w:ind w:left="397"/>
        <w:jc w:val="both"/>
      </w:pPr>
      <w:r>
        <w:rPr>
          <w:rFonts w:ascii="Calibri" w:hAnsi="Calibri"/>
          <w:color w:val="1A1A1A"/>
          <w:sz w:val="24"/>
        </w:rPr>
        <w:t>Documentar de forma objetiva o sintoma relatado e o achado observado.</w:t>
      </w:r>
    </w:p>
    <w:p>
      <w:pPr>
        <w:pStyle w:val="ListNumber"/>
        <w:spacing w:after="60"/>
        <w:ind w:left="397"/>
        <w:jc w:val="both"/>
      </w:pPr>
      <w:r>
        <w:rPr>
          <w:rFonts w:ascii="Calibri" w:hAnsi="Calibri"/>
          <w:color w:val="1A1A1A"/>
          <w:sz w:val="24"/>
        </w:rPr>
        <w:t>Aplicar, em paralelo ao acionamento e sem retardá-lo, as medidas previstas no protocolo do serviço, quando houver e quando compatíveis com a capacitação do profissional.</w:t>
      </w:r>
    </w:p>
    <w:p>
      <w:pPr>
        <w:pStyle w:val="ListNumber"/>
        <w:spacing w:after="60"/>
        <w:ind w:left="397"/>
        <w:jc w:val="both"/>
      </w:pPr>
      <w:r>
        <w:rPr>
          <w:rFonts w:ascii="Calibri" w:hAnsi="Calibri"/>
          <w:color w:val="1A1A1A"/>
          <w:sz w:val="24"/>
        </w:rPr>
        <w:t>Acompanhar o paciente até a transferência efetiva de cuidado.</w:t>
      </w:r>
    </w:p>
    <w:p>
      <w:pPr>
        <w:pStyle w:val="ListNumber"/>
        <w:spacing w:after="60"/>
        <w:ind w:left="397"/>
        <w:jc w:val="both"/>
      </w:pPr>
      <w:r>
        <w:rPr>
          <w:rFonts w:ascii="Calibri" w:hAnsi="Calibri"/>
          <w:color w:val="1A1A1A"/>
          <w:sz w:val="24"/>
        </w:rPr>
        <w:t>Transmitir ao serviço receptor o produto aplicado, o lote, a região, o volume, os horários e a conduta já adotada.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Qualquer alteração visual, ainda que transitória.</w:t>
      </w:r>
    </w:p>
    <w:p>
      <w:pPr>
        <w:pStyle w:val="ListBullet"/>
        <w:spacing w:after="60"/>
        <w:ind w:left="397"/>
        <w:jc w:val="both"/>
      </w:pPr>
      <w:r>
        <w:rPr>
          <w:rFonts w:ascii="Calibri" w:hAnsi="Calibri"/>
          <w:color w:val="1A1A1A"/>
          <w:sz w:val="24"/>
        </w:rPr>
        <w:t>Dor ocular, ptose ou limitação da movimentação ocular.</w:t>
      </w:r>
    </w:p>
    <w:p>
      <w:pPr>
        <w:pStyle w:val="ListBullet"/>
        <w:spacing w:after="60"/>
        <w:ind w:left="397"/>
        <w:jc w:val="both"/>
      </w:pPr>
      <w:r>
        <w:rPr>
          <w:rFonts w:ascii="Calibri" w:hAnsi="Calibri"/>
          <w:color w:val="1A1A1A"/>
          <w:sz w:val="24"/>
        </w:rPr>
        <w:t>Déficit motor, alteração de fala ou de nível de consciência.</w:t>
      </w:r>
    </w:p>
    <w:p>
      <w:pPr>
        <w:pStyle w:val="ListBullet"/>
        <w:spacing w:after="60"/>
        <w:ind w:left="397"/>
        <w:jc w:val="both"/>
      </w:pPr>
      <w:r>
        <w:rPr>
          <w:rFonts w:ascii="Calibri" w:hAnsi="Calibri"/>
          <w:color w:val="1A1A1A"/>
          <w:sz w:val="24"/>
        </w:rPr>
        <w:t>Cefaleia de início súbito e intensidade incomum.</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Este POP é a própria conduta de intercorrência. Havendo instabilidade sistêmica associada, aplicar simultaneamente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Os três horários, com precisão de minutos.</w:t>
      </w:r>
    </w:p>
    <w:p>
      <w:pPr>
        <w:pStyle w:val="ListBullet"/>
        <w:spacing w:after="60"/>
        <w:ind w:left="397"/>
        <w:jc w:val="both"/>
      </w:pPr>
      <w:r>
        <w:rPr>
          <w:rFonts w:ascii="Calibri" w:hAnsi="Calibri"/>
          <w:color w:val="1A1A1A"/>
          <w:sz w:val="24"/>
        </w:rPr>
        <w:t>Sintoma relatado com as palavras do paciente e achado objetivado pelo profissional.</w:t>
      </w:r>
    </w:p>
    <w:p>
      <w:pPr>
        <w:pStyle w:val="ListBullet"/>
        <w:spacing w:after="60"/>
        <w:ind w:left="397"/>
        <w:jc w:val="both"/>
      </w:pPr>
      <w:r>
        <w:rPr>
          <w:rFonts w:ascii="Calibri" w:hAnsi="Calibri"/>
          <w:color w:val="1A1A1A"/>
          <w:sz w:val="24"/>
        </w:rPr>
        <w:t>Horário do acionamento do encaminhamento e serviço acionado.</w:t>
      </w:r>
    </w:p>
    <w:p>
      <w:pPr>
        <w:pStyle w:val="ListBullet"/>
        <w:spacing w:after="60"/>
        <w:ind w:left="397"/>
        <w:jc w:val="both"/>
      </w:pPr>
      <w:r>
        <w:rPr>
          <w:rFonts w:ascii="Calibri" w:hAnsi="Calibri"/>
          <w:color w:val="1A1A1A"/>
          <w:sz w:val="24"/>
        </w:rPr>
        <w:t>Informações transmitidas ao serviço receptor.</w:t>
      </w:r>
    </w:p>
    <w:p>
      <w:pPr>
        <w:pStyle w:val="ListBullet"/>
        <w:spacing w:after="60"/>
        <w:ind w:left="397"/>
        <w:jc w:val="both"/>
      </w:pPr>
      <w:r>
        <w:rPr>
          <w:rFonts w:ascii="Calibri" w:hAnsi="Calibri"/>
          <w:color w:val="1A1A1A"/>
          <w:sz w:val="24"/>
        </w:rPr>
        <w:t>Conduta adotada em paralelo, se houver, com horário.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Registrar o desfecho informado pelo serviço receptor, quando obtido. Avaliar notificação conforme o POP-N5-17. Realizar revisão interna obrigatória do caso, com registro em ata do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Protocolo do serviço, com fonte e data. Documentos 07, 08 e 12 do pacote. Literatura verificada em PubMed e registrada no documento 12, que descreve a classificação temporal do evento e a proporção de complicações neurológicas relatadas, com o desenho e as limitações ali declarados.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POP-N5-07  Nódulo e evento inflamatório tardio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POP-N5-07. Versão 1.0. Emissão em 26 de agosto de 2026. Próxima revisão em até doze meses. Onda de produção 2.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avaliação, a documentação e o encaminhamento de nódulos e eventos inflamatórios surgidos após procedimento em Harmonização Orofacial, incluindo os de aparecimento tardio. Não define conduta terapêutica específica, que depende da hipótese, do produto e da competência profissional.</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Eventual conduta terapêutica deve estar prevista em protocolo do serviço, com fonte declarada.</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Casos com suspeita de processo infeccioso, sistêmico ou de etiologia indeterminada devem ser conduzidos com limiar baixo para encaminhamento.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Prontuário com histórico de produtos aplicados; equipamento de documentação fotográfica; instrumento de medição; formulário de evolução.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Recuperação do registro do procedimento de origem: produto, lote, região, volume e data.</w:t>
      </w:r>
    </w:p>
    <w:p>
      <w:pPr>
        <w:pStyle w:val="ListBullet"/>
        <w:spacing w:after="60"/>
        <w:ind w:left="397"/>
        <w:jc w:val="both"/>
      </w:pPr>
      <w:r>
        <w:rPr>
          <w:rFonts w:ascii="Calibri" w:hAnsi="Calibri"/>
          <w:color w:val="1A1A1A"/>
          <w:sz w:val="24"/>
        </w:rPr>
        <w:t>☐  Tempo decorrido entre o procedimento e o aparecimento do achado.</w:t>
      </w:r>
    </w:p>
    <w:p>
      <w:pPr>
        <w:pStyle w:val="ListBullet"/>
        <w:spacing w:after="60"/>
        <w:ind w:left="397"/>
        <w:jc w:val="both"/>
      </w:pPr>
      <w:r>
        <w:rPr>
          <w:rFonts w:ascii="Calibri" w:hAnsi="Calibri"/>
          <w:color w:val="1A1A1A"/>
          <w:sz w:val="24"/>
        </w:rPr>
        <w:t>☐  Presença de sinais inflamatórios, sistêmicos ou infecciosos associados.</w:t>
      </w:r>
    </w:p>
    <w:p>
      <w:pPr>
        <w:pStyle w:val="ListBullet"/>
        <w:spacing w:after="60"/>
        <w:ind w:left="397"/>
        <w:jc w:val="both"/>
      </w:pPr>
      <w:r>
        <w:rPr>
          <w:rFonts w:ascii="Calibri" w:hAnsi="Calibri"/>
          <w:color w:val="1A1A1A"/>
          <w:sz w:val="24"/>
        </w:rPr>
        <w:t>☐  Histórico de procedimentos realizados por outros profissionais na mesma região.</w:t>
      </w:r>
    </w:p>
    <w:p>
      <w:pPr>
        <w:pStyle w:val="ListBullet"/>
        <w:spacing w:after="60"/>
        <w:ind w:left="397"/>
        <w:jc w:val="both"/>
      </w:pPr>
      <w:r>
        <w:rPr>
          <w:rFonts w:ascii="Calibri" w:hAnsi="Calibri"/>
          <w:color w:val="1A1A1A"/>
          <w:sz w:val="24"/>
        </w:rPr>
        <w:t>☐  Eventos intercorrentes recentes, como infecção, procedimento odontológico ou vacinação, registrados como informação e não como conclusão causal.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Avaliar queixa, histórico, tempo de evolução e características do achado.</w:t>
      </w:r>
    </w:p>
    <w:p>
      <w:pPr>
        <w:pStyle w:val="ListNumber"/>
        <w:spacing w:after="60"/>
        <w:ind w:left="397"/>
        <w:jc w:val="both"/>
      </w:pPr>
      <w:r>
        <w:rPr>
          <w:rFonts w:ascii="Calibri" w:hAnsi="Calibri"/>
          <w:color w:val="1A1A1A"/>
          <w:sz w:val="24"/>
        </w:rPr>
        <w:t>Registrar localização, dimensões, consistência, mobilidade, sensibilidade e sinais inflamatórios.</w:t>
      </w:r>
    </w:p>
    <w:p>
      <w:pPr>
        <w:pStyle w:val="ListNumber"/>
        <w:spacing w:after="60"/>
        <w:ind w:left="397"/>
        <w:jc w:val="both"/>
      </w:pPr>
      <w:r>
        <w:rPr>
          <w:rFonts w:ascii="Calibri" w:hAnsi="Calibri"/>
          <w:color w:val="1A1A1A"/>
          <w:sz w:val="24"/>
        </w:rPr>
        <w:t>Documentar por fotografia padronizada, conforme o POP-N5-12.</w:t>
      </w:r>
    </w:p>
    <w:p>
      <w:pPr>
        <w:pStyle w:val="ListNumber"/>
        <w:spacing w:after="60"/>
        <w:ind w:left="397"/>
        <w:jc w:val="both"/>
      </w:pPr>
      <w:r>
        <w:rPr>
          <w:rFonts w:ascii="Calibri" w:hAnsi="Calibri"/>
          <w:color w:val="1A1A1A"/>
          <w:sz w:val="24"/>
        </w:rPr>
        <w:t>Definir hipótese e conduta: observação com reavaliação programada, tratamento conforme protocolo do serviço, ou encaminhamento.</w:t>
      </w:r>
    </w:p>
    <w:p>
      <w:pPr>
        <w:pStyle w:val="ListNumber"/>
        <w:spacing w:after="60"/>
        <w:ind w:left="397"/>
        <w:jc w:val="both"/>
      </w:pPr>
      <w:r>
        <w:rPr>
          <w:rFonts w:ascii="Calibri" w:hAnsi="Calibri"/>
          <w:color w:val="1A1A1A"/>
          <w:sz w:val="24"/>
        </w:rPr>
        <w:t>Explicar ao paciente a hipótese, a conduta e o prazo esperado de evolução.</w:t>
      </w:r>
    </w:p>
    <w:p>
      <w:pPr>
        <w:pStyle w:val="ListNumber"/>
        <w:spacing w:after="60"/>
        <w:ind w:left="397"/>
        <w:jc w:val="both"/>
      </w:pPr>
      <w:r>
        <w:rPr>
          <w:rFonts w:ascii="Calibri" w:hAnsi="Calibri"/>
          <w:color w:val="1A1A1A"/>
          <w:sz w:val="24"/>
        </w:rPr>
        <w:t>Programar reavaliação com data definida, e não com retorno condicionado à piora.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Sinais sistêmicos, febre ou secreção.</w:t>
      </w:r>
    </w:p>
    <w:p>
      <w:pPr>
        <w:pStyle w:val="ListBullet"/>
        <w:spacing w:after="60"/>
        <w:ind w:left="397"/>
        <w:jc w:val="both"/>
      </w:pPr>
      <w:r>
        <w:rPr>
          <w:rFonts w:ascii="Calibri" w:hAnsi="Calibri"/>
          <w:color w:val="1A1A1A"/>
          <w:sz w:val="24"/>
        </w:rPr>
        <w:t>Crescimento rápido ou progressão apesar da conduta.</w:t>
      </w:r>
    </w:p>
    <w:p>
      <w:pPr>
        <w:pStyle w:val="ListBullet"/>
        <w:spacing w:after="60"/>
        <w:ind w:left="397"/>
        <w:jc w:val="both"/>
      </w:pPr>
      <w:r>
        <w:rPr>
          <w:rFonts w:ascii="Calibri" w:hAnsi="Calibri"/>
          <w:color w:val="1A1A1A"/>
          <w:sz w:val="24"/>
        </w:rPr>
        <w:t>Dor intensa desproporcional ao achado.</w:t>
      </w:r>
    </w:p>
    <w:p>
      <w:pPr>
        <w:pStyle w:val="ListBullet"/>
        <w:spacing w:after="60"/>
        <w:ind w:left="397"/>
        <w:jc w:val="both"/>
      </w:pPr>
      <w:r>
        <w:rPr>
          <w:rFonts w:ascii="Calibri" w:hAnsi="Calibri"/>
          <w:color w:val="1A1A1A"/>
          <w:sz w:val="24"/>
        </w:rPr>
        <w:t>Achado em região previamente tratada com produto não identificado.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infecção segue o POP-N5-08. Deterioração clínica ou sinal sistêmico exige encaminhamento. Ausência de resposta no prazo previsto é critério de reavaliação da hipótese, e não de repetição da mesma conduta.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de origem, lote, região e data do procedimento inicial, quando identificáveis.</w:t>
      </w:r>
    </w:p>
    <w:p>
      <w:pPr>
        <w:pStyle w:val="ListBullet"/>
        <w:spacing w:after="60"/>
        <w:ind w:left="397"/>
        <w:jc w:val="both"/>
      </w:pPr>
      <w:r>
        <w:rPr>
          <w:rFonts w:ascii="Calibri" w:hAnsi="Calibri"/>
          <w:color w:val="1A1A1A"/>
          <w:sz w:val="24"/>
        </w:rPr>
        <w:t>Descrição objetiva do achado, com medidas e fotografia.</w:t>
      </w:r>
    </w:p>
    <w:p>
      <w:pPr>
        <w:pStyle w:val="ListBullet"/>
        <w:spacing w:after="60"/>
        <w:ind w:left="397"/>
        <w:jc w:val="both"/>
      </w:pPr>
      <w:r>
        <w:rPr>
          <w:rFonts w:ascii="Calibri" w:hAnsi="Calibri"/>
          <w:color w:val="1A1A1A"/>
          <w:sz w:val="24"/>
        </w:rPr>
        <w:t>Hipótese, conduta, justificativa e prazo de reavaliação.</w:t>
      </w:r>
    </w:p>
    <w:p>
      <w:pPr>
        <w:pStyle w:val="ListBullet"/>
        <w:spacing w:after="60"/>
        <w:ind w:left="397"/>
        <w:jc w:val="both"/>
      </w:pPr>
      <w:r>
        <w:rPr>
          <w:rFonts w:ascii="Calibri" w:hAnsi="Calibri"/>
          <w:color w:val="1A1A1A"/>
          <w:sz w:val="24"/>
        </w:rPr>
        <w:t>Evolução em cada reavaliação.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Manter seguimento documentado até a resolução ou até a definição de conduta definitiva. Avaliar notificação conforme o POP-N5-17, especialmente quando houver suspeita de relação com o produto.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de origem. Documentos 07 e 08 do pacote. Protocolo terapêutico do serviço, quando houver.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POP-N5-08  Infecção e abscesso após procedimento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POP-N5-08. Versão 1.0. Emissão em 26 de agosto de 2026. Próxima revisão em até doze meses. Onda de produção 2.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a documentação e o encaminhamento de processo infeccioso após procedimento em Harmonização Orofacial. Não define esquema terapêutico antimicrobiano, que depende de avaliação clínica individual e de prescrição.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As rotinas de biossegurança e processamento seguem o POP-N5-11 e a norma sanitária aplicável.</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Casos com sinais sistêmicos, comprometimento de estruturas profundas ou paciente imunossuprimido exigem encaminhamento.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Material para avaliação clínica; equipamento de documentação fotográfica; material para coleta quando indicado e disponível; formulário de evolução.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Recuperação do registro do procedimento de origem e das condições de biossegurança aplicadas.</w:t>
      </w:r>
    </w:p>
    <w:p>
      <w:pPr>
        <w:pStyle w:val="ListBullet"/>
        <w:spacing w:after="60"/>
        <w:ind w:left="397"/>
        <w:jc w:val="both"/>
      </w:pPr>
      <w:r>
        <w:rPr>
          <w:rFonts w:ascii="Calibri" w:hAnsi="Calibri"/>
          <w:color w:val="1A1A1A"/>
          <w:sz w:val="24"/>
        </w:rPr>
        <w:t>☐  Tempo decorrido desde o procedimento.</w:t>
      </w:r>
    </w:p>
    <w:p>
      <w:pPr>
        <w:pStyle w:val="ListBullet"/>
        <w:spacing w:after="60"/>
        <w:ind w:left="397"/>
        <w:jc w:val="both"/>
      </w:pPr>
      <w:r>
        <w:rPr>
          <w:rFonts w:ascii="Calibri" w:hAnsi="Calibri"/>
          <w:color w:val="1A1A1A"/>
          <w:sz w:val="24"/>
        </w:rPr>
        <w:t>☐  Presença de febre, mal-estar ou outro sinal sistêmico.</w:t>
      </w:r>
    </w:p>
    <w:p>
      <w:pPr>
        <w:pStyle w:val="ListBullet"/>
        <w:spacing w:after="60"/>
        <w:ind w:left="397"/>
        <w:jc w:val="both"/>
      </w:pPr>
      <w:r>
        <w:rPr>
          <w:rFonts w:ascii="Calibri" w:hAnsi="Calibri"/>
          <w:color w:val="1A1A1A"/>
          <w:sz w:val="24"/>
        </w:rPr>
        <w:t>☐  Condição imunológica e comorbidades do paciente.</w:t>
      </w:r>
    </w:p>
    <w:p>
      <w:pPr>
        <w:pStyle w:val="ListBullet"/>
        <w:spacing w:after="60"/>
        <w:ind w:left="397"/>
        <w:jc w:val="both"/>
      </w:pPr>
      <w:r>
        <w:rPr>
          <w:rFonts w:ascii="Calibri" w:hAnsi="Calibri"/>
          <w:color w:val="1A1A1A"/>
          <w:sz w:val="24"/>
        </w:rPr>
        <w:t>☐  Uso prévio de antimicrobiano, com identificação de esquema e duração.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Reconhecer sinais como eritema progressivo, calor, edema, dor persistente e secreção.</w:t>
      </w:r>
    </w:p>
    <w:p>
      <w:pPr>
        <w:pStyle w:val="ListNumber"/>
        <w:spacing w:after="60"/>
        <w:ind w:left="397"/>
        <w:jc w:val="both"/>
      </w:pPr>
      <w:r>
        <w:rPr>
          <w:rFonts w:ascii="Calibri" w:hAnsi="Calibri"/>
          <w:color w:val="1A1A1A"/>
          <w:sz w:val="24"/>
        </w:rPr>
        <w:t>Avaliar a gravidade, considerando extensão, profundidade, sinais sistêmicos e condição do paciente.</w:t>
      </w:r>
    </w:p>
    <w:p>
      <w:pPr>
        <w:pStyle w:val="ListNumber"/>
        <w:spacing w:after="60"/>
        <w:ind w:left="397"/>
        <w:jc w:val="both"/>
      </w:pPr>
      <w:r>
        <w:rPr>
          <w:rFonts w:ascii="Calibri" w:hAnsi="Calibri"/>
          <w:color w:val="1A1A1A"/>
          <w:sz w:val="24"/>
        </w:rPr>
        <w:t>Documentar por escrito e por fotografia padronizada.</w:t>
      </w:r>
    </w:p>
    <w:p>
      <w:pPr>
        <w:pStyle w:val="ListNumber"/>
        <w:spacing w:after="60"/>
        <w:ind w:left="397"/>
        <w:jc w:val="both"/>
      </w:pPr>
      <w:r>
        <w:rPr>
          <w:rFonts w:ascii="Calibri" w:hAnsi="Calibri"/>
          <w:color w:val="1A1A1A"/>
          <w:sz w:val="24"/>
        </w:rPr>
        <w:t>Definir conduta conforme avaliação clínica e protocolo do serviço, ou encaminhar.</w:t>
      </w:r>
    </w:p>
    <w:p>
      <w:pPr>
        <w:pStyle w:val="ListNumber"/>
        <w:spacing w:after="60"/>
        <w:ind w:left="397"/>
        <w:jc w:val="both"/>
      </w:pPr>
      <w:r>
        <w:rPr>
          <w:rFonts w:ascii="Calibri" w:hAnsi="Calibri"/>
          <w:color w:val="1A1A1A"/>
          <w:sz w:val="24"/>
        </w:rPr>
        <w:t>Considerar coleta para exame quando indicada e disponível, sem que a espera pelo resultado retarde a conduta necessária.</w:t>
      </w:r>
    </w:p>
    <w:p>
      <w:pPr>
        <w:pStyle w:val="ListNumber"/>
        <w:spacing w:after="60"/>
        <w:ind w:left="397"/>
        <w:jc w:val="both"/>
      </w:pPr>
      <w:r>
        <w:rPr>
          <w:rFonts w:ascii="Calibri" w:hAnsi="Calibri"/>
          <w:color w:val="1A1A1A"/>
          <w:sz w:val="24"/>
        </w:rPr>
        <w:t>Programar reavaliação em prazo curto e definido.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Febre, prostração ou qualquer sinal sistêmico.</w:t>
      </w:r>
    </w:p>
    <w:p>
      <w:pPr>
        <w:pStyle w:val="ListBullet"/>
        <w:spacing w:after="60"/>
        <w:ind w:left="397"/>
        <w:jc w:val="both"/>
      </w:pPr>
      <w:r>
        <w:rPr>
          <w:rFonts w:ascii="Calibri" w:hAnsi="Calibri"/>
          <w:color w:val="1A1A1A"/>
          <w:sz w:val="24"/>
        </w:rPr>
        <w:t>Progressão rápida da área acometida.</w:t>
      </w:r>
    </w:p>
    <w:p>
      <w:pPr>
        <w:pStyle w:val="ListBullet"/>
        <w:spacing w:after="60"/>
        <w:ind w:left="397"/>
        <w:jc w:val="both"/>
      </w:pPr>
      <w:r>
        <w:rPr>
          <w:rFonts w:ascii="Calibri" w:hAnsi="Calibri"/>
          <w:color w:val="1A1A1A"/>
          <w:sz w:val="24"/>
        </w:rPr>
        <w:t>Comprometimento de estruturas profundas, limitação de abertura bucal ou disfagia.</w:t>
      </w:r>
    </w:p>
    <w:p>
      <w:pPr>
        <w:pStyle w:val="ListBullet"/>
        <w:spacing w:after="60"/>
        <w:ind w:left="397"/>
        <w:jc w:val="both"/>
      </w:pPr>
      <w:r>
        <w:rPr>
          <w:rFonts w:ascii="Calibri" w:hAnsi="Calibri"/>
          <w:color w:val="1A1A1A"/>
          <w:sz w:val="24"/>
        </w:rPr>
        <w:t>Ausência de resposta ao tratamento instituído no prazo esperado.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Sinal sistêmico ou progressão rápida configura urgência e exige encaminhamento imediato. Instabilidade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Procedimento de origem, produto, lote, região e data.</w:t>
      </w:r>
    </w:p>
    <w:p>
      <w:pPr>
        <w:pStyle w:val="ListBullet"/>
        <w:spacing w:after="60"/>
        <w:ind w:left="397"/>
        <w:jc w:val="both"/>
      </w:pPr>
      <w:r>
        <w:rPr>
          <w:rFonts w:ascii="Calibri" w:hAnsi="Calibri"/>
          <w:color w:val="1A1A1A"/>
          <w:sz w:val="24"/>
        </w:rPr>
        <w:t>Descrição objetiva do quadro, com fotografia e medidas.</w:t>
      </w:r>
    </w:p>
    <w:p>
      <w:pPr>
        <w:pStyle w:val="ListBullet"/>
        <w:spacing w:after="60"/>
        <w:ind w:left="397"/>
        <w:jc w:val="both"/>
      </w:pPr>
      <w:r>
        <w:rPr>
          <w:rFonts w:ascii="Calibri" w:hAnsi="Calibri"/>
          <w:color w:val="1A1A1A"/>
          <w:sz w:val="24"/>
        </w:rPr>
        <w:t>Conduta adotada, justificativa e prazo de reavaliação.</w:t>
      </w:r>
    </w:p>
    <w:p>
      <w:pPr>
        <w:pStyle w:val="ListBullet"/>
        <w:spacing w:after="60"/>
        <w:ind w:left="397"/>
        <w:jc w:val="both"/>
      </w:pPr>
      <w:r>
        <w:rPr>
          <w:rFonts w:ascii="Calibri" w:hAnsi="Calibri"/>
          <w:color w:val="1A1A1A"/>
          <w:sz w:val="24"/>
        </w:rPr>
        <w:t>Encaminhamento, quando houver, com destino e horário.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Seguimento documentado até a resolução. Revisão interna das condições de biossegurança do procedimento de origem. Avaliar notificação conforme o POP-N5-17.</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Documentos 07, 08 e 09 do pacote. POP-N5-11.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POP-N5-09  Kit de resposta a intercorrências e fluxo de emergência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22"/>
        <w:gridCol w:w="5550"/>
      </w:tblGrid>
      <w:tr>
        <w:trPr>
          <w:cantSplit/>
          <w:tblHeader/>
        </w:trPr>
        <w:tc>
          <w:tcPr>
            <w:tcW w:type="dxa" w:w="3522"/>
            <w:shd w:val="clear" w:color="auto" w:fill="143C64"/>
          </w:tcPr>
          <w:p>
            <w:pPr>
              <w:spacing w:after="0"/>
              <w:jc w:val="left"/>
            </w:pPr>
            <w:r/>
            <w:r>
              <w:rPr>
                <w:rFonts w:ascii="Calibri" w:hAnsi="Calibri"/>
                <w:b/>
                <w:color w:val="FFFFFF"/>
                <w:sz w:val="24"/>
              </w:rPr>
              <w:t>Campo</w:t>
            </w:r>
          </w:p>
        </w:tc>
        <w:tc>
          <w:tcPr>
            <w:tcW w:type="dxa" w:w="5550"/>
            <w:shd w:val="clear" w:color="auto" w:fill="143C64"/>
          </w:tcPr>
          <w:p>
            <w:pPr>
              <w:spacing w:after="0"/>
              <w:jc w:val="left"/>
            </w:pPr>
            <w:r/>
            <w:r>
              <w:rPr>
                <w:rFonts w:ascii="Calibri" w:hAnsi="Calibri"/>
                <w:b/>
                <w:color w:val="FFFFFF"/>
                <w:sz w:val="24"/>
              </w:rPr>
              <w:t>Conteúdo</w:t>
            </w:r>
          </w:p>
        </w:tc>
      </w:tr>
      <w:tr>
        <w:trPr>
          <w:cantSplit/>
        </w:trPr>
        <w:tc>
          <w:tcPr>
            <w:tcW w:type="dxa" w:w="3522"/>
          </w:tcPr>
          <w:p>
            <w:pPr>
              <w:spacing w:after="0"/>
              <w:jc w:val="left"/>
            </w:pPr>
            <w:r/>
            <w:r>
              <w:rPr>
                <w:rFonts w:ascii="Calibri" w:hAnsi="Calibri"/>
                <w:b/>
                <w:color w:val="1A1A1A"/>
                <w:sz w:val="24"/>
              </w:rPr>
              <w:t>1. Identificação</w:t>
            </w:r>
          </w:p>
        </w:tc>
        <w:tc>
          <w:tcPr>
            <w:tcW w:type="dxa" w:w="5550"/>
          </w:tcPr>
          <w:p>
            <w:pPr>
              <w:spacing w:after="0"/>
              <w:jc w:val="left"/>
            </w:pPr>
            <w:r/>
            <w:r>
              <w:rPr>
                <w:rFonts w:ascii="Calibri" w:hAnsi="Calibri"/>
                <w:b w:val="0"/>
                <w:color w:val="1A1A1A"/>
                <w:sz w:val="24"/>
              </w:rPr>
              <w:t>Código POP-N5-09. Versão 1.0. Emissão em 26 de agosto de 2026. Próxima revisão em até doze meses. Onda de produção 1. Situação de escopo: Depende de deliberação sobre composição. Responsável técnico pela redação: Campo de preenchimento pelo serviço.</w:t>
            </w:r>
          </w:p>
        </w:tc>
      </w:tr>
      <w:tr>
        <w:trPr>
          <w:cantSplit/>
        </w:trPr>
        <w:tc>
          <w:tcPr>
            <w:tcW w:type="dxa" w:w="3522"/>
            <w:shd w:val="clear" w:color="auto" w:fill="F2F5F8"/>
          </w:tcPr>
          <w:p>
            <w:pPr>
              <w:spacing w:after="0"/>
              <w:jc w:val="left"/>
            </w:pPr>
            <w:r/>
            <w:r>
              <w:rPr>
                <w:rFonts w:ascii="Calibri" w:hAnsi="Calibri"/>
                <w:b/>
                <w:color w:val="1A1A1A"/>
                <w:sz w:val="24"/>
              </w:rPr>
              <w:t>2. Objetivo e alcance</w:t>
            </w:r>
          </w:p>
        </w:tc>
        <w:tc>
          <w:tcPr>
            <w:tcW w:type="dxa" w:w="5550"/>
            <w:shd w:val="clear" w:color="auto" w:fill="F2F5F8"/>
          </w:tcPr>
          <w:p>
            <w:pPr>
              <w:spacing w:after="0"/>
              <w:jc w:val="left"/>
            </w:pPr>
            <w:r/>
            <w:r>
              <w:rPr>
                <w:rFonts w:ascii="Calibri" w:hAnsi="Calibri"/>
                <w:b w:val="0"/>
                <w:color w:val="1A1A1A"/>
                <w:sz w:val="24"/>
              </w:rPr>
              <w:t>Padronizar a existência, a organização, a conferência e a reposição dos recursos de resposta a intercorrências, e o fluxo de acionamento da emergência. A composição específica do kit é definida pelo serviço, com apoio jurídico e sanitário, e depende da competência profissional para cada item.</w:t>
            </w:r>
          </w:p>
        </w:tc>
      </w:tr>
      <w:tr>
        <w:trPr>
          <w:cantSplit/>
        </w:trPr>
        <w:tc>
          <w:tcPr>
            <w:tcW w:type="dxa" w:w="3522"/>
          </w:tcPr>
          <w:p>
            <w:pPr>
              <w:spacing w:after="0"/>
              <w:jc w:val="left"/>
            </w:pPr>
            <w:r/>
            <w:r>
              <w:rPr>
                <w:rFonts w:ascii="Calibri" w:hAnsi="Calibri"/>
                <w:b/>
                <w:color w:val="1A1A1A"/>
                <w:sz w:val="24"/>
              </w:rPr>
              <w:t>3. Situação regulatória</w:t>
            </w:r>
          </w:p>
        </w:tc>
        <w:tc>
          <w:tcPr>
            <w:tcW w:type="dxa" w:w="5550"/>
          </w:tcPr>
          <w:p>
            <w:pPr>
              <w:spacing w:after="0"/>
              <w:jc w:val="left"/>
            </w:pPr>
            <w:r/>
            <w:r>
              <w:rPr>
                <w:rFonts w:ascii="Calibri" w:hAnsi="Calibri"/>
                <w:b w:val="0"/>
                <w:color w:val="1A1A1A"/>
                <w:sz w:val="24"/>
              </w:rPr>
              <w:t>RDC Anvisa nº 1.002/2025, art. 110. A guarda, a prescrição e o uso de medicamentos observam a norma sanitária aplicável e os limites da competência profissional.</w:t>
            </w:r>
          </w:p>
        </w:tc>
      </w:tr>
      <w:tr>
        <w:trPr>
          <w:cantSplit/>
        </w:trPr>
        <w:tc>
          <w:tcPr>
            <w:tcW w:type="dxa" w:w="3522"/>
            <w:shd w:val="clear" w:color="auto" w:fill="F2F5F8"/>
          </w:tcPr>
          <w:p>
            <w:pPr>
              <w:spacing w:after="0"/>
              <w:jc w:val="left"/>
            </w:pPr>
            <w:r/>
            <w:r>
              <w:rPr>
                <w:rFonts w:ascii="Calibri" w:hAnsi="Calibri"/>
                <w:b/>
                <w:color w:val="1A1A1A"/>
                <w:sz w:val="24"/>
              </w:rPr>
              <w:t>4. Competência exigida</w:t>
            </w:r>
          </w:p>
        </w:tc>
        <w:tc>
          <w:tcPr>
            <w:tcW w:type="dxa" w:w="5550"/>
            <w:shd w:val="clear" w:color="auto" w:fill="F2F5F8"/>
          </w:tcPr>
          <w:p>
            <w:pPr>
              <w:spacing w:after="0"/>
              <w:jc w:val="left"/>
            </w:pPr>
            <w:r/>
            <w:r>
              <w:rPr>
                <w:rFonts w:ascii="Calibri" w:hAnsi="Calibri"/>
                <w:b w:val="0"/>
                <w:color w:val="1A1A1A"/>
                <w:sz w:val="24"/>
              </w:rPr>
              <w:t>Responsável Técnico do serviço pela definição, conferência e reposição. Cada profissional responde pela utilização dos itens compatíveis com sua capacitação.</w:t>
            </w:r>
          </w:p>
        </w:tc>
      </w:tr>
      <w:tr>
        <w:trPr>
          <w:cantSplit/>
        </w:trPr>
        <w:tc>
          <w:tcPr>
            <w:tcW w:type="dxa" w:w="3522"/>
          </w:tcPr>
          <w:p>
            <w:pPr>
              <w:spacing w:after="0"/>
              <w:jc w:val="left"/>
            </w:pPr>
            <w:r/>
            <w:r>
              <w:rPr>
                <w:rFonts w:ascii="Calibri" w:hAnsi="Calibri"/>
                <w:b/>
                <w:color w:val="1A1A1A"/>
                <w:sz w:val="24"/>
              </w:rPr>
              <w:t>5. Materiais e equipamentos</w:t>
            </w:r>
          </w:p>
        </w:tc>
        <w:tc>
          <w:tcPr>
            <w:tcW w:type="dxa" w:w="5550"/>
          </w:tcPr>
          <w:p>
            <w:pPr>
              <w:spacing w:after="0"/>
              <w:jc w:val="left"/>
            </w:pPr>
            <w:r/>
            <w:r>
              <w:rPr>
                <w:rFonts w:ascii="Calibri" w:hAnsi="Calibri"/>
                <w:b w:val="0"/>
                <w:color w:val="1A1A1A"/>
                <w:sz w:val="24"/>
              </w:rPr>
              <w:t>Recipiente ou local identificado e desobstruído; lista de inventário; planilha de conferência; contatos de urgência afixados; itens definidos pelo serviço.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Inventário conferido item a item, com assinatura e data.</w:t>
      </w:r>
    </w:p>
    <w:p>
      <w:pPr>
        <w:pStyle w:val="ListBullet"/>
        <w:spacing w:after="60"/>
        <w:ind w:left="397"/>
        <w:jc w:val="both"/>
      </w:pPr>
      <w:r>
        <w:rPr>
          <w:rFonts w:ascii="Calibri" w:hAnsi="Calibri"/>
          <w:color w:val="1A1A1A"/>
          <w:sz w:val="24"/>
        </w:rPr>
        <w:t>☐  Validade de cada item verificada, com registro do vencimento mais próximo.</w:t>
      </w:r>
    </w:p>
    <w:p>
      <w:pPr>
        <w:pStyle w:val="ListBullet"/>
        <w:spacing w:after="60"/>
        <w:ind w:left="397"/>
        <w:jc w:val="both"/>
      </w:pPr>
      <w:r>
        <w:rPr>
          <w:rFonts w:ascii="Calibri" w:hAnsi="Calibri"/>
          <w:color w:val="1A1A1A"/>
          <w:sz w:val="24"/>
        </w:rPr>
        <w:t>☐  Local identificado, acessível e desobstruído, testado na prática.</w:t>
      </w:r>
    </w:p>
    <w:p>
      <w:pPr>
        <w:pStyle w:val="ListBullet"/>
        <w:spacing w:after="60"/>
        <w:ind w:left="397"/>
        <w:jc w:val="both"/>
      </w:pPr>
      <w:r>
        <w:rPr>
          <w:rFonts w:ascii="Calibri" w:hAnsi="Calibri"/>
          <w:color w:val="1A1A1A"/>
          <w:sz w:val="24"/>
        </w:rPr>
        <w:t>☐  Contatos de urgência atualizados, incluindo rota oftalmológica e neurológica.</w:t>
      </w:r>
    </w:p>
    <w:p>
      <w:pPr>
        <w:pStyle w:val="ListBullet"/>
        <w:spacing w:after="60"/>
        <w:ind w:left="397"/>
        <w:jc w:val="both"/>
      </w:pPr>
      <w:r>
        <w:rPr>
          <w:rFonts w:ascii="Calibri" w:hAnsi="Calibri"/>
          <w:color w:val="1A1A1A"/>
          <w:sz w:val="24"/>
        </w:rPr>
        <w:t>☐  Equipe treinada quanto à localização e ao uso dos itens compatíveis com sua função.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Manter o kit organizado por cenário de uso, de modo que a busca não dependa de memória.</w:t>
      </w:r>
    </w:p>
    <w:p>
      <w:pPr>
        <w:pStyle w:val="ListNumber"/>
        <w:spacing w:after="60"/>
        <w:ind w:left="397"/>
        <w:jc w:val="both"/>
      </w:pPr>
      <w:r>
        <w:rPr>
          <w:rFonts w:ascii="Calibri" w:hAnsi="Calibri"/>
          <w:color w:val="1A1A1A"/>
          <w:sz w:val="24"/>
        </w:rPr>
        <w:t>Realizar conferência mensal completa e conferência de validade antes de procedimento de maior risco.</w:t>
      </w:r>
    </w:p>
    <w:p>
      <w:pPr>
        <w:pStyle w:val="ListNumber"/>
        <w:spacing w:after="60"/>
        <w:ind w:left="397"/>
        <w:jc w:val="both"/>
      </w:pPr>
      <w:r>
        <w:rPr>
          <w:rFonts w:ascii="Calibri" w:hAnsi="Calibri"/>
          <w:color w:val="1A1A1A"/>
          <w:sz w:val="24"/>
        </w:rPr>
        <w:t>Repor imediatamente todo item utilizado ou vencido, registrando entrada e saída.</w:t>
      </w:r>
    </w:p>
    <w:p>
      <w:pPr>
        <w:pStyle w:val="ListNumber"/>
        <w:spacing w:after="60"/>
        <w:ind w:left="397"/>
        <w:jc w:val="both"/>
      </w:pPr>
      <w:r>
        <w:rPr>
          <w:rFonts w:ascii="Calibri" w:hAnsi="Calibri"/>
          <w:color w:val="1A1A1A"/>
          <w:sz w:val="24"/>
        </w:rPr>
        <w:t>Realizar treinamento semestral da equipe e a cada novo integrante, com lista de presença.</w:t>
      </w:r>
    </w:p>
    <w:p>
      <w:pPr>
        <w:pStyle w:val="ListNumber"/>
        <w:spacing w:after="60"/>
        <w:ind w:left="397"/>
        <w:jc w:val="both"/>
      </w:pPr>
      <w:r>
        <w:rPr>
          <w:rFonts w:ascii="Calibri" w:hAnsi="Calibri"/>
          <w:color w:val="1A1A1A"/>
          <w:sz w:val="24"/>
        </w:rPr>
        <w:t>Revisar a composição do kit a cada alteração de protocolo, de norma ou de perfil de procedimentos do serviço.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Item vencido encontrado na conferência, que exige registro de causa e correção do processo.</w:t>
      </w:r>
    </w:p>
    <w:p>
      <w:pPr>
        <w:pStyle w:val="ListBullet"/>
        <w:spacing w:after="60"/>
        <w:ind w:left="397"/>
        <w:jc w:val="both"/>
      </w:pPr>
      <w:r>
        <w:rPr>
          <w:rFonts w:ascii="Calibri" w:hAnsi="Calibri"/>
          <w:color w:val="1A1A1A"/>
          <w:sz w:val="24"/>
        </w:rPr>
        <w:t>Kit obstruído, trancado ou fora do local previsto.</w:t>
      </w:r>
    </w:p>
    <w:p>
      <w:pPr>
        <w:pStyle w:val="ListBullet"/>
        <w:spacing w:after="60"/>
        <w:ind w:left="397"/>
        <w:jc w:val="both"/>
      </w:pPr>
      <w:r>
        <w:rPr>
          <w:rFonts w:ascii="Calibri" w:hAnsi="Calibri"/>
          <w:color w:val="1A1A1A"/>
          <w:sz w:val="24"/>
        </w:rPr>
        <w:t>Integrante da equipe que não sabe localizar o kit.</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Kit incompleto, vencido ou inacessível impede o início de procedimento de risco compatível, conforme o bloco B do Checklist. A pendência deve ser corrigida e registrada antes de qualquer atendimento.</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Planilha de conferência mensal, assinada e datada.</w:t>
      </w:r>
    </w:p>
    <w:p>
      <w:pPr>
        <w:pStyle w:val="ListBullet"/>
        <w:spacing w:after="60"/>
        <w:ind w:left="397"/>
        <w:jc w:val="both"/>
      </w:pPr>
      <w:r>
        <w:rPr>
          <w:rFonts w:ascii="Calibri" w:hAnsi="Calibri"/>
          <w:color w:val="1A1A1A"/>
          <w:sz w:val="24"/>
        </w:rPr>
        <w:t>Registro de entrada e saída de cada item.</w:t>
      </w:r>
    </w:p>
    <w:p>
      <w:pPr>
        <w:pStyle w:val="ListBullet"/>
        <w:spacing w:after="60"/>
        <w:ind w:left="397"/>
        <w:jc w:val="both"/>
      </w:pPr>
      <w:r>
        <w:rPr>
          <w:rFonts w:ascii="Calibri" w:hAnsi="Calibri"/>
          <w:color w:val="1A1A1A"/>
          <w:sz w:val="24"/>
        </w:rPr>
        <w:t>Registro de treinamento da equipe.</w:t>
      </w:r>
    </w:p>
    <w:p>
      <w:pPr>
        <w:pStyle w:val="ListBullet"/>
        <w:spacing w:after="60"/>
        <w:ind w:left="397"/>
        <w:jc w:val="both"/>
      </w:pPr>
      <w:r>
        <w:rPr>
          <w:rFonts w:ascii="Calibri" w:hAnsi="Calibri"/>
          <w:color w:val="1A1A1A"/>
          <w:sz w:val="24"/>
        </w:rPr>
        <w:t>Registro de revisão da composição, com justificativa.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Após qualquer utilização, repor, revisar a adequação do kit ao evento ocorrido e registrar eventual necessidade de alteração da composição.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Documentos 07 e 09 do pacote. Deliberação do colegiado sobre composição, quando concluída. Literatura verificada registrada no documento 12, que descreve organização por níveis de prioridade e por cenário, com as limitações ali declaradas.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POP-N5-10  Reação sistêmica e emergência clínica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POP-N5-10.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e a resposta inicial a reação sistêmica e a emergência clínica durante ou após procedimento, incluindo o acionamento do serviço de emergência. As medidas executadas dependem da capacitação do profissional e dos recursos disponíveis.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As medidas de suporte adotadas devem ser compatíveis com a competência profissional e com a norma vigente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suporte básico de vida. Medidas além dessa capacitação não devem ser executadas.</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Recursos definidos no POP-N5-09; meio de acionamento do serviço de emergência; relógio visível; formulário de registro.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Contatos de emergência afixados e atualizados.</w:t>
      </w:r>
    </w:p>
    <w:p>
      <w:pPr>
        <w:pStyle w:val="ListBullet"/>
        <w:spacing w:after="60"/>
        <w:ind w:left="397"/>
        <w:jc w:val="both"/>
      </w:pPr>
      <w:r>
        <w:rPr>
          <w:rFonts w:ascii="Calibri" w:hAnsi="Calibri"/>
          <w:color w:val="1A1A1A"/>
          <w:sz w:val="24"/>
        </w:rPr>
        <w:t>☐  Equipe ciente da função de cada integrante durante uma emergência.</w:t>
      </w:r>
    </w:p>
    <w:p>
      <w:pPr>
        <w:pStyle w:val="ListBullet"/>
        <w:spacing w:after="60"/>
        <w:ind w:left="397"/>
        <w:jc w:val="both"/>
      </w:pPr>
      <w:r>
        <w:rPr>
          <w:rFonts w:ascii="Calibri" w:hAnsi="Calibri"/>
          <w:color w:val="1A1A1A"/>
          <w:sz w:val="24"/>
        </w:rPr>
        <w:t>☐  Recursos conferidos conforme o POP-N5-09.</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o procedimento e registrar o horário.</w:t>
      </w:r>
    </w:p>
    <w:p>
      <w:pPr>
        <w:pStyle w:val="ListNumber"/>
        <w:spacing w:after="60"/>
        <w:ind w:left="397"/>
        <w:jc w:val="both"/>
      </w:pPr>
      <w:r>
        <w:rPr>
          <w:rFonts w:ascii="Calibri" w:hAnsi="Calibri"/>
          <w:color w:val="1A1A1A"/>
          <w:sz w:val="24"/>
        </w:rPr>
        <w:t>Acionar o serviço de emergência sem demora quando houver dispneia, alteração do nível de consciência, sinais de anafilaxia ou instabilidade hemodinâmica.</w:t>
      </w:r>
    </w:p>
    <w:p>
      <w:pPr>
        <w:pStyle w:val="ListNumber"/>
        <w:spacing w:after="60"/>
        <w:ind w:left="397"/>
        <w:jc w:val="both"/>
      </w:pPr>
      <w:r>
        <w:rPr>
          <w:rFonts w:ascii="Calibri" w:hAnsi="Calibri"/>
          <w:color w:val="1A1A1A"/>
          <w:sz w:val="24"/>
        </w:rPr>
        <w:t>Adotar as medidas de suporte compatíveis com a capacitação do profissional e com os recursos disponíveis.</w:t>
      </w:r>
    </w:p>
    <w:p>
      <w:pPr>
        <w:pStyle w:val="ListNumber"/>
        <w:spacing w:after="60"/>
        <w:ind w:left="397"/>
        <w:jc w:val="both"/>
      </w:pPr>
      <w:r>
        <w:rPr>
          <w:rFonts w:ascii="Calibri" w:hAnsi="Calibri"/>
          <w:color w:val="1A1A1A"/>
          <w:sz w:val="24"/>
        </w:rPr>
        <w:t>Manter monitoramento contínuo até a chegada do socorro ou a estabilização.</w:t>
      </w:r>
    </w:p>
    <w:p>
      <w:pPr>
        <w:pStyle w:val="ListNumber"/>
        <w:spacing w:after="60"/>
        <w:ind w:left="397"/>
        <w:jc w:val="both"/>
      </w:pPr>
      <w:r>
        <w:rPr>
          <w:rFonts w:ascii="Calibri" w:hAnsi="Calibri"/>
          <w:color w:val="1A1A1A"/>
          <w:sz w:val="24"/>
        </w:rPr>
        <w:t>Designar um integrante da equipe exclusivamente para registrar horários e condutas.</w:t>
      </w:r>
    </w:p>
    <w:p>
      <w:pPr>
        <w:pStyle w:val="ListNumber"/>
        <w:spacing w:after="60"/>
        <w:ind w:left="397"/>
        <w:jc w:val="both"/>
      </w:pPr>
      <w:r>
        <w:rPr>
          <w:rFonts w:ascii="Calibri" w:hAnsi="Calibri"/>
          <w:color w:val="1A1A1A"/>
          <w:sz w:val="24"/>
        </w:rPr>
        <w:t>Transmitir ao serviço receptor o produto utilizado, lote, região, volume, horários e medidas adotadas.</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Dispneia, estridor ou sensação de fechamento de garganta.</w:t>
      </w:r>
    </w:p>
    <w:p>
      <w:pPr>
        <w:pStyle w:val="ListBullet"/>
        <w:spacing w:after="60"/>
        <w:ind w:left="397"/>
        <w:jc w:val="both"/>
      </w:pPr>
      <w:r>
        <w:rPr>
          <w:rFonts w:ascii="Calibri" w:hAnsi="Calibri"/>
          <w:color w:val="1A1A1A"/>
          <w:sz w:val="24"/>
        </w:rPr>
        <w:t>Urticária generalizada, angioedema ou prurido difuso de instalação rápida.</w:t>
      </w:r>
    </w:p>
    <w:p>
      <w:pPr>
        <w:pStyle w:val="ListBullet"/>
        <w:spacing w:after="60"/>
        <w:ind w:left="397"/>
        <w:jc w:val="both"/>
      </w:pPr>
      <w:r>
        <w:rPr>
          <w:rFonts w:ascii="Calibri" w:hAnsi="Calibri"/>
          <w:color w:val="1A1A1A"/>
          <w:sz w:val="24"/>
        </w:rPr>
        <w:t>Alteração do nível de consciência.</w:t>
      </w:r>
    </w:p>
    <w:p>
      <w:pPr>
        <w:pStyle w:val="ListBullet"/>
        <w:spacing w:after="60"/>
        <w:ind w:left="397"/>
        <w:jc w:val="both"/>
      </w:pPr>
      <w:r>
        <w:rPr>
          <w:rFonts w:ascii="Calibri" w:hAnsi="Calibri"/>
          <w:color w:val="1A1A1A"/>
          <w:sz w:val="24"/>
        </w:rPr>
        <w:t>Hipotensão, palidez intensa ou sudorese fria.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Este POP é a própria conduta de emergência. Não há hipótese de aguardar evolução antes de acionar o serviço de emergência diante dos sinais acima.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Horário do primeiro sinal, do acionamento e de cada medida adotada.</w:t>
      </w:r>
    </w:p>
    <w:p>
      <w:pPr>
        <w:pStyle w:val="ListBullet"/>
        <w:spacing w:after="60"/>
        <w:ind w:left="397"/>
        <w:jc w:val="both"/>
      </w:pPr>
      <w:r>
        <w:rPr>
          <w:rFonts w:ascii="Calibri" w:hAnsi="Calibri"/>
          <w:color w:val="1A1A1A"/>
          <w:sz w:val="24"/>
        </w:rPr>
        <w:t>Sinais observados e evolução.</w:t>
      </w:r>
    </w:p>
    <w:p>
      <w:pPr>
        <w:pStyle w:val="ListBullet"/>
        <w:spacing w:after="60"/>
        <w:ind w:left="397"/>
        <w:jc w:val="both"/>
      </w:pPr>
      <w:r>
        <w:rPr>
          <w:rFonts w:ascii="Calibri" w:hAnsi="Calibri"/>
          <w:color w:val="1A1A1A"/>
          <w:sz w:val="24"/>
        </w:rPr>
        <w:t>Produto utilizado, lote, região e volume.</w:t>
      </w:r>
    </w:p>
    <w:p>
      <w:pPr>
        <w:pStyle w:val="ListBullet"/>
        <w:spacing w:after="60"/>
        <w:ind w:left="397"/>
        <w:jc w:val="both"/>
      </w:pPr>
      <w:r>
        <w:rPr>
          <w:rFonts w:ascii="Calibri" w:hAnsi="Calibri"/>
          <w:color w:val="1A1A1A"/>
          <w:sz w:val="24"/>
        </w:rPr>
        <w:t>Serviço acionado e informações transmitidas.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Registrar o desfecho quando informado. Avaliar notificação conforme o POP-N5-17. Realizar revisão interna do caso e do desempenho do fluxo de emergência.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Documentos 07 e 09 do pacote. POP-N5-09.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POP-N5-11  Biossegurança e processamento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22"/>
        <w:gridCol w:w="5550"/>
      </w:tblGrid>
      <w:tr>
        <w:trPr>
          <w:cantSplit/>
          <w:tblHeader/>
        </w:trPr>
        <w:tc>
          <w:tcPr>
            <w:tcW w:type="dxa" w:w="3522"/>
            <w:shd w:val="clear" w:color="auto" w:fill="143C64"/>
          </w:tcPr>
          <w:p>
            <w:pPr>
              <w:spacing w:after="0"/>
              <w:jc w:val="left"/>
            </w:pPr>
            <w:r/>
            <w:r>
              <w:rPr>
                <w:rFonts w:ascii="Calibri" w:hAnsi="Calibri"/>
                <w:b/>
                <w:color w:val="FFFFFF"/>
                <w:sz w:val="24"/>
              </w:rPr>
              <w:t>Campo</w:t>
            </w:r>
          </w:p>
        </w:tc>
        <w:tc>
          <w:tcPr>
            <w:tcW w:type="dxa" w:w="5550"/>
            <w:shd w:val="clear" w:color="auto" w:fill="143C64"/>
          </w:tcPr>
          <w:p>
            <w:pPr>
              <w:spacing w:after="0"/>
              <w:jc w:val="left"/>
            </w:pPr>
            <w:r/>
            <w:r>
              <w:rPr>
                <w:rFonts w:ascii="Calibri" w:hAnsi="Calibri"/>
                <w:b/>
                <w:color w:val="FFFFFF"/>
                <w:sz w:val="24"/>
              </w:rPr>
              <w:t>Conteúdo</w:t>
            </w:r>
          </w:p>
        </w:tc>
      </w:tr>
      <w:tr>
        <w:trPr>
          <w:cantSplit/>
        </w:trPr>
        <w:tc>
          <w:tcPr>
            <w:tcW w:type="dxa" w:w="3522"/>
          </w:tcPr>
          <w:p>
            <w:pPr>
              <w:spacing w:after="0"/>
              <w:jc w:val="left"/>
            </w:pPr>
            <w:r/>
            <w:r>
              <w:rPr>
                <w:rFonts w:ascii="Calibri" w:hAnsi="Calibri"/>
                <w:b/>
                <w:color w:val="1A1A1A"/>
                <w:sz w:val="24"/>
              </w:rPr>
              <w:t>1. Identificação</w:t>
            </w:r>
          </w:p>
        </w:tc>
        <w:tc>
          <w:tcPr>
            <w:tcW w:type="dxa" w:w="5550"/>
          </w:tcPr>
          <w:p>
            <w:pPr>
              <w:spacing w:after="0"/>
              <w:jc w:val="left"/>
            </w:pPr>
            <w:r/>
            <w:r>
              <w:rPr>
                <w:rFonts w:ascii="Calibri" w:hAnsi="Calibri"/>
                <w:b w:val="0"/>
                <w:color w:val="1A1A1A"/>
                <w:sz w:val="24"/>
              </w:rPr>
              <w:t>Código POP-N5-11. Versão 1.0. Emissão em 26 de agosto de 2026. Próxima revisão em até doze meses. Onda de produção 2. Situação de escopo: Livre. Responsável técnico pela redação: Campo de preenchimento pelo serviço.</w:t>
            </w:r>
          </w:p>
        </w:tc>
      </w:tr>
      <w:tr>
        <w:trPr>
          <w:cantSplit/>
        </w:trPr>
        <w:tc>
          <w:tcPr>
            <w:tcW w:type="dxa" w:w="3522"/>
            <w:shd w:val="clear" w:color="auto" w:fill="F2F5F8"/>
          </w:tcPr>
          <w:p>
            <w:pPr>
              <w:spacing w:after="0"/>
              <w:jc w:val="left"/>
            </w:pPr>
            <w:r/>
            <w:r>
              <w:rPr>
                <w:rFonts w:ascii="Calibri" w:hAnsi="Calibri"/>
                <w:b/>
                <w:color w:val="1A1A1A"/>
                <w:sz w:val="24"/>
              </w:rPr>
              <w:t>2. Objetivo e alcance</w:t>
            </w:r>
          </w:p>
        </w:tc>
        <w:tc>
          <w:tcPr>
            <w:tcW w:type="dxa" w:w="5550"/>
            <w:shd w:val="clear" w:color="auto" w:fill="F2F5F8"/>
          </w:tcPr>
          <w:p>
            <w:pPr>
              <w:spacing w:after="0"/>
              <w:jc w:val="left"/>
            </w:pPr>
            <w:r/>
            <w:r>
              <w:rPr>
                <w:rFonts w:ascii="Calibri" w:hAnsi="Calibri"/>
                <w:b w:val="0"/>
                <w:color w:val="1A1A1A"/>
                <w:sz w:val="24"/>
              </w:rPr>
              <w:t>Padronizar as rotinas de biossegurança aplicáveis a todo atendimento e o processamento de instrumentais e de equipamentos de contato entre pacientes.</w:t>
            </w:r>
          </w:p>
        </w:tc>
      </w:tr>
      <w:tr>
        <w:trPr>
          <w:cantSplit/>
        </w:trPr>
        <w:tc>
          <w:tcPr>
            <w:tcW w:type="dxa" w:w="3522"/>
          </w:tcPr>
          <w:p>
            <w:pPr>
              <w:spacing w:after="0"/>
              <w:jc w:val="left"/>
            </w:pPr>
            <w:r/>
            <w:r>
              <w:rPr>
                <w:rFonts w:ascii="Calibri" w:hAnsi="Calibri"/>
                <w:b/>
                <w:color w:val="1A1A1A"/>
                <w:sz w:val="24"/>
              </w:rPr>
              <w:t>3. Situação regulatória</w:t>
            </w:r>
          </w:p>
        </w:tc>
        <w:tc>
          <w:tcPr>
            <w:tcW w:type="dxa" w:w="5550"/>
          </w:tcPr>
          <w:p>
            <w:pPr>
              <w:spacing w:after="0"/>
              <w:jc w:val="left"/>
            </w:pPr>
            <w:r/>
            <w:r>
              <w:rPr>
                <w:rFonts w:ascii="Calibri" w:hAnsi="Calibri"/>
                <w:b w:val="0"/>
                <w:color w:val="1A1A1A"/>
                <w:sz w:val="24"/>
              </w:rPr>
              <w:t>RDC Anvisa nº 1.002/2025 e demais normas sanitárias aplicáveis ao serviço, incluindo as de processamento de produtos para saúde e de gerenciamento de resíduos. Registrar a data de consulta das normas locais.</w:t>
            </w:r>
          </w:p>
        </w:tc>
      </w:tr>
      <w:tr>
        <w:trPr>
          <w:cantSplit/>
        </w:trPr>
        <w:tc>
          <w:tcPr>
            <w:tcW w:type="dxa" w:w="3522"/>
            <w:shd w:val="clear" w:color="auto" w:fill="F2F5F8"/>
          </w:tcPr>
          <w:p>
            <w:pPr>
              <w:spacing w:after="0"/>
              <w:jc w:val="left"/>
            </w:pPr>
            <w:r/>
            <w:r>
              <w:rPr>
                <w:rFonts w:ascii="Calibri" w:hAnsi="Calibri"/>
                <w:b/>
                <w:color w:val="1A1A1A"/>
                <w:sz w:val="24"/>
              </w:rPr>
              <w:t>4. Competência exigida</w:t>
            </w:r>
          </w:p>
        </w:tc>
        <w:tc>
          <w:tcPr>
            <w:tcW w:type="dxa" w:w="5550"/>
            <w:shd w:val="clear" w:color="auto" w:fill="F2F5F8"/>
          </w:tcPr>
          <w:p>
            <w:pPr>
              <w:spacing w:after="0"/>
              <w:jc w:val="left"/>
            </w:pPr>
            <w:r/>
            <w:r>
              <w:rPr>
                <w:rFonts w:ascii="Calibri" w:hAnsi="Calibri"/>
                <w:b w:val="0"/>
                <w:color w:val="1A1A1A"/>
                <w:sz w:val="24"/>
              </w:rPr>
              <w:t>Toda a equipe, na medida de sua função. Responsável Técnico pela definição das rotinas, pelo treinamento e pela verificação.</w:t>
            </w:r>
          </w:p>
        </w:tc>
      </w:tr>
      <w:tr>
        <w:trPr>
          <w:cantSplit/>
        </w:trPr>
        <w:tc>
          <w:tcPr>
            <w:tcW w:type="dxa" w:w="3522"/>
          </w:tcPr>
          <w:p>
            <w:pPr>
              <w:spacing w:after="0"/>
              <w:jc w:val="left"/>
            </w:pPr>
            <w:r/>
            <w:r>
              <w:rPr>
                <w:rFonts w:ascii="Calibri" w:hAnsi="Calibri"/>
                <w:b/>
                <w:color w:val="1A1A1A"/>
                <w:sz w:val="24"/>
              </w:rPr>
              <w:t>5. Materiais e equipamentos</w:t>
            </w:r>
          </w:p>
        </w:tc>
        <w:tc>
          <w:tcPr>
            <w:tcW w:type="dxa" w:w="5550"/>
          </w:tcPr>
          <w:p>
            <w:pPr>
              <w:spacing w:after="0"/>
              <w:jc w:val="left"/>
            </w:pPr>
            <w:r/>
            <w:r>
              <w:rPr>
                <w:rFonts w:ascii="Calibri" w:hAnsi="Calibri"/>
                <w:b w:val="0"/>
                <w:color w:val="1A1A1A"/>
                <w:sz w:val="24"/>
              </w:rPr>
              <w:t>Insumos de higienização das mãos; equipamentos de proteção individual; produtos de limpeza e desinfecção compatíveis; recipientes para perfurocortantes e para resíduos; materiais de processamento conforme rotina do serviço.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Insumos de higienização disponíveis e acessíveis em todos os pontos de uso.</w:t>
      </w:r>
    </w:p>
    <w:p>
      <w:pPr>
        <w:pStyle w:val="ListBullet"/>
        <w:spacing w:after="60"/>
        <w:ind w:left="397"/>
        <w:jc w:val="both"/>
      </w:pPr>
      <w:r>
        <w:rPr>
          <w:rFonts w:ascii="Calibri" w:hAnsi="Calibri"/>
          <w:color w:val="1A1A1A"/>
          <w:sz w:val="24"/>
        </w:rPr>
        <w:t>☐  Equipamentos de proteção individual disponíveis, íntegros e em quantidade suficiente.</w:t>
      </w:r>
    </w:p>
    <w:p>
      <w:pPr>
        <w:pStyle w:val="ListBullet"/>
        <w:spacing w:after="60"/>
        <w:ind w:left="397"/>
        <w:jc w:val="both"/>
      </w:pPr>
      <w:r>
        <w:rPr>
          <w:rFonts w:ascii="Calibri" w:hAnsi="Calibri"/>
          <w:color w:val="1A1A1A"/>
          <w:sz w:val="24"/>
        </w:rPr>
        <w:t>☐  Produtos de desinfecção dentro da validade e compatíveis com as superfícies e equipamentos.</w:t>
      </w:r>
    </w:p>
    <w:p>
      <w:pPr>
        <w:pStyle w:val="ListBullet"/>
        <w:spacing w:after="60"/>
        <w:ind w:left="397"/>
        <w:jc w:val="both"/>
      </w:pPr>
      <w:r>
        <w:rPr>
          <w:rFonts w:ascii="Calibri" w:hAnsi="Calibri"/>
          <w:color w:val="1A1A1A"/>
          <w:sz w:val="24"/>
        </w:rPr>
        <w:t>☐  Recipiente de perfurocortantes dentro do limite de preenchimento.</w:t>
      </w:r>
    </w:p>
    <w:p>
      <w:pPr>
        <w:pStyle w:val="ListBullet"/>
        <w:spacing w:after="60"/>
        <w:ind w:left="397"/>
        <w:jc w:val="both"/>
      </w:pPr>
      <w:r>
        <w:rPr>
          <w:rFonts w:ascii="Calibri" w:hAnsi="Calibri"/>
          <w:color w:val="1A1A1A"/>
          <w:sz w:val="24"/>
        </w:rPr>
        <w:t>☐  Registros de processamento em dia.</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Higienizar as mãos conforme protocolo antes e após cada atendimento e sempre que indicado.</w:t>
      </w:r>
    </w:p>
    <w:p>
      <w:pPr>
        <w:pStyle w:val="ListNumber"/>
        <w:spacing w:after="60"/>
        <w:ind w:left="397"/>
        <w:jc w:val="both"/>
      </w:pPr>
      <w:r>
        <w:rPr>
          <w:rFonts w:ascii="Calibri" w:hAnsi="Calibri"/>
          <w:color w:val="1A1A1A"/>
          <w:sz w:val="24"/>
        </w:rPr>
        <w:t>Utilizar equipamentos de proteção individual adequados ao procedimento.</w:t>
      </w:r>
    </w:p>
    <w:p>
      <w:pPr>
        <w:pStyle w:val="ListNumber"/>
        <w:spacing w:after="60"/>
        <w:ind w:left="397"/>
        <w:jc w:val="both"/>
      </w:pPr>
      <w:r>
        <w:rPr>
          <w:rFonts w:ascii="Calibri" w:hAnsi="Calibri"/>
          <w:color w:val="1A1A1A"/>
          <w:sz w:val="24"/>
        </w:rPr>
        <w:t>Limpar e desinfetar superfícies e equipamentos entre pacientes.</w:t>
      </w:r>
    </w:p>
    <w:p>
      <w:pPr>
        <w:pStyle w:val="ListNumber"/>
        <w:spacing w:after="60"/>
        <w:ind w:left="397"/>
        <w:jc w:val="both"/>
      </w:pPr>
      <w:r>
        <w:rPr>
          <w:rFonts w:ascii="Calibri" w:hAnsi="Calibri"/>
          <w:color w:val="1A1A1A"/>
          <w:sz w:val="24"/>
        </w:rPr>
        <w:t>Descartar perfurocortantes em recipiente apropriado, imediatamente após o uso e sem reencape.</w:t>
      </w:r>
    </w:p>
    <w:p>
      <w:pPr>
        <w:pStyle w:val="ListNumber"/>
        <w:spacing w:after="60"/>
        <w:ind w:left="397"/>
        <w:jc w:val="both"/>
      </w:pPr>
      <w:r>
        <w:rPr>
          <w:rFonts w:ascii="Calibri" w:hAnsi="Calibri"/>
          <w:color w:val="1A1A1A"/>
          <w:sz w:val="24"/>
        </w:rPr>
        <w:t>Processar instrumentais conforme rotina definida, com registro.</w:t>
      </w:r>
    </w:p>
    <w:p>
      <w:pPr>
        <w:pStyle w:val="ListNumber"/>
        <w:spacing w:after="60"/>
        <w:ind w:left="397"/>
        <w:jc w:val="both"/>
      </w:pPr>
      <w:r>
        <w:rPr>
          <w:rFonts w:ascii="Calibri" w:hAnsi="Calibri"/>
          <w:color w:val="1A1A1A"/>
          <w:sz w:val="24"/>
        </w:rPr>
        <w:t>Limpar e desinfetar equipamento de contato com o paciente imediatamente após o uso, conforme protocolo do fabricante.</w:t>
      </w:r>
    </w:p>
    <w:p>
      <w:pPr>
        <w:pStyle w:val="ListNumber"/>
        <w:spacing w:after="60"/>
        <w:ind w:left="397"/>
        <w:jc w:val="both"/>
      </w:pPr>
      <w:r>
        <w:rPr>
          <w:rFonts w:ascii="Calibri" w:hAnsi="Calibri"/>
          <w:color w:val="1A1A1A"/>
          <w:sz w:val="24"/>
        </w:rPr>
        <w:t>Segregar e destinar resíduos conforme o plano de gerenciamento do serviço.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Falha de barreira, acidente com perfurocortante ou exposição a material biológico.</w:t>
      </w:r>
    </w:p>
    <w:p>
      <w:pPr>
        <w:pStyle w:val="ListBullet"/>
        <w:spacing w:after="60"/>
        <w:ind w:left="397"/>
        <w:jc w:val="both"/>
      </w:pPr>
      <w:r>
        <w:rPr>
          <w:rFonts w:ascii="Calibri" w:hAnsi="Calibri"/>
          <w:color w:val="1A1A1A"/>
          <w:sz w:val="24"/>
        </w:rPr>
        <w:t>Produto de desinfecção incompatível com a superfície ou o equipamento.</w:t>
      </w:r>
    </w:p>
    <w:p>
      <w:pPr>
        <w:pStyle w:val="ListBullet"/>
        <w:spacing w:after="60"/>
        <w:ind w:left="397"/>
        <w:jc w:val="both"/>
      </w:pPr>
      <w:r>
        <w:rPr>
          <w:rFonts w:ascii="Calibri" w:hAnsi="Calibri"/>
          <w:color w:val="1A1A1A"/>
          <w:sz w:val="24"/>
        </w:rPr>
        <w:t>Registro de processamento ausente ou incompleto.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Acidente com material biológico exige interrupção, cuidado imediato do acidentado, registro e encaminhamento conforme protocolo de saúde ocupacional do serviço.</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Registros de processamento, com data e responsável.</w:t>
      </w:r>
    </w:p>
    <w:p>
      <w:pPr>
        <w:pStyle w:val="ListBullet"/>
        <w:spacing w:after="60"/>
        <w:ind w:left="397"/>
        <w:jc w:val="both"/>
      </w:pPr>
      <w:r>
        <w:rPr>
          <w:rFonts w:ascii="Calibri" w:hAnsi="Calibri"/>
          <w:color w:val="1A1A1A"/>
          <w:sz w:val="24"/>
        </w:rPr>
        <w:t>Registro de acidentes e das providências adotadas.</w:t>
      </w:r>
    </w:p>
    <w:p>
      <w:pPr>
        <w:pStyle w:val="ListBullet"/>
        <w:spacing w:after="60"/>
        <w:ind w:left="397"/>
        <w:jc w:val="both"/>
      </w:pPr>
      <w:r>
        <w:rPr>
          <w:rFonts w:ascii="Calibri" w:hAnsi="Calibri"/>
          <w:color w:val="1A1A1A"/>
          <w:sz w:val="24"/>
        </w:rPr>
        <w:t>Registro de treinamento da equipe.</w:t>
      </w:r>
    </w:p>
    <w:p>
      <w:pPr>
        <w:pStyle w:val="ListBullet"/>
        <w:spacing w:after="60"/>
        <w:ind w:left="397"/>
        <w:jc w:val="both"/>
      </w:pPr>
      <w:r>
        <w:rPr>
          <w:rFonts w:ascii="Calibri" w:hAnsi="Calibri"/>
          <w:color w:val="1A1A1A"/>
          <w:sz w:val="24"/>
        </w:rPr>
        <w:t>Controle de validade dos produtos utilizados.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as rotinas diante de alteração normativa, de novo equipamento ou de ocorrência registrada.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Normas sanitárias locais, com data de consulta. Documento 09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POP-N5-12  Documentação fotográfica padronizada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81"/>
        <w:gridCol w:w="5491"/>
      </w:tblGrid>
      <w:tr>
        <w:trPr>
          <w:cantSplit/>
          <w:tblHeader/>
        </w:trPr>
        <w:tc>
          <w:tcPr>
            <w:tcW w:type="dxa" w:w="3581"/>
            <w:shd w:val="clear" w:color="auto" w:fill="143C64"/>
          </w:tcPr>
          <w:p>
            <w:pPr>
              <w:spacing w:after="0"/>
              <w:jc w:val="left"/>
            </w:pPr>
            <w:r/>
            <w:r>
              <w:rPr>
                <w:rFonts w:ascii="Calibri" w:hAnsi="Calibri"/>
                <w:b/>
                <w:color w:val="FFFFFF"/>
                <w:sz w:val="24"/>
              </w:rPr>
              <w:t>Campo</w:t>
            </w:r>
          </w:p>
        </w:tc>
        <w:tc>
          <w:tcPr>
            <w:tcW w:type="dxa" w:w="5491"/>
            <w:shd w:val="clear" w:color="auto" w:fill="143C64"/>
          </w:tcPr>
          <w:p>
            <w:pPr>
              <w:spacing w:after="0"/>
              <w:jc w:val="left"/>
            </w:pPr>
            <w:r/>
            <w:r>
              <w:rPr>
                <w:rFonts w:ascii="Calibri" w:hAnsi="Calibri"/>
                <w:b/>
                <w:color w:val="FFFFFF"/>
                <w:sz w:val="24"/>
              </w:rPr>
              <w:t>Conteúdo</w:t>
            </w:r>
          </w:p>
        </w:tc>
      </w:tr>
      <w:tr>
        <w:trPr>
          <w:cantSplit/>
        </w:trPr>
        <w:tc>
          <w:tcPr>
            <w:tcW w:type="dxa" w:w="3581"/>
          </w:tcPr>
          <w:p>
            <w:pPr>
              <w:spacing w:after="0"/>
              <w:jc w:val="left"/>
            </w:pPr>
            <w:r/>
            <w:r>
              <w:rPr>
                <w:rFonts w:ascii="Calibri" w:hAnsi="Calibri"/>
                <w:b/>
                <w:color w:val="1A1A1A"/>
                <w:sz w:val="24"/>
              </w:rPr>
              <w:t>1. Identificação</w:t>
            </w:r>
          </w:p>
        </w:tc>
        <w:tc>
          <w:tcPr>
            <w:tcW w:type="dxa" w:w="5491"/>
          </w:tcPr>
          <w:p>
            <w:pPr>
              <w:spacing w:after="0"/>
              <w:jc w:val="left"/>
            </w:pPr>
            <w:r/>
            <w:r>
              <w:rPr>
                <w:rFonts w:ascii="Calibri" w:hAnsi="Calibri"/>
                <w:b w:val="0"/>
                <w:color w:val="1A1A1A"/>
                <w:sz w:val="24"/>
              </w:rPr>
              <w:t>Código POP-N5-12. Versão 1.0. Emissão em 26 de agosto de 2026. Próxima revisão em até doze meses. Onda de produção 3. Situação de escopo: Livre. Responsável técnico pela redação: Campo de preenchimento pelo serviço.</w:t>
            </w:r>
          </w:p>
        </w:tc>
      </w:tr>
      <w:tr>
        <w:trPr>
          <w:cantSplit/>
        </w:trPr>
        <w:tc>
          <w:tcPr>
            <w:tcW w:type="dxa" w:w="3581"/>
            <w:shd w:val="clear" w:color="auto" w:fill="F2F5F8"/>
          </w:tcPr>
          <w:p>
            <w:pPr>
              <w:spacing w:after="0"/>
              <w:jc w:val="left"/>
            </w:pPr>
            <w:r/>
            <w:r>
              <w:rPr>
                <w:rFonts w:ascii="Calibri" w:hAnsi="Calibri"/>
                <w:b/>
                <w:color w:val="1A1A1A"/>
                <w:sz w:val="24"/>
              </w:rPr>
              <w:t>2. Objetivo e alcance</w:t>
            </w:r>
          </w:p>
        </w:tc>
        <w:tc>
          <w:tcPr>
            <w:tcW w:type="dxa" w:w="5491"/>
            <w:shd w:val="clear" w:color="auto" w:fill="F2F5F8"/>
          </w:tcPr>
          <w:p>
            <w:pPr>
              <w:spacing w:after="0"/>
              <w:jc w:val="left"/>
            </w:pPr>
            <w:r/>
            <w:r>
              <w:rPr>
                <w:rFonts w:ascii="Calibri" w:hAnsi="Calibri"/>
                <w:b w:val="0"/>
                <w:color w:val="1A1A1A"/>
                <w:sz w:val="24"/>
              </w:rPr>
              <w:t>Padronizar a obtenção, o armazenamento e o uso de imagens clínicas, garantindo comparabilidade entre sessões e conformidade com a proteção de dados.</w:t>
            </w:r>
          </w:p>
        </w:tc>
      </w:tr>
      <w:tr>
        <w:trPr>
          <w:cantSplit/>
        </w:trPr>
        <w:tc>
          <w:tcPr>
            <w:tcW w:type="dxa" w:w="3581"/>
          </w:tcPr>
          <w:p>
            <w:pPr>
              <w:spacing w:after="0"/>
              <w:jc w:val="left"/>
            </w:pPr>
            <w:r/>
            <w:r>
              <w:rPr>
                <w:rFonts w:ascii="Calibri" w:hAnsi="Calibri"/>
                <w:b/>
                <w:color w:val="1A1A1A"/>
                <w:sz w:val="24"/>
              </w:rPr>
              <w:t>3. Situação regulatória</w:t>
            </w:r>
          </w:p>
        </w:tc>
        <w:tc>
          <w:tcPr>
            <w:tcW w:type="dxa" w:w="5491"/>
          </w:tcPr>
          <w:p>
            <w:pPr>
              <w:spacing w:after="0"/>
              <w:jc w:val="left"/>
            </w:pPr>
            <w:r/>
            <w:r>
              <w:rPr>
                <w:rFonts w:ascii="Calibri" w:hAnsi="Calibri"/>
                <w:b w:val="0"/>
                <w:color w:val="1A1A1A"/>
                <w:sz w:val="24"/>
              </w:rPr>
              <w:t>Lei nº 13.709/2018 e Lei nº 15.378/2026. O consentimento para uso assistencial e o consentimento para divulgação são distintos e não se presumem um do outro.</w:t>
            </w:r>
          </w:p>
        </w:tc>
      </w:tr>
      <w:tr>
        <w:trPr>
          <w:cantSplit/>
        </w:trPr>
        <w:tc>
          <w:tcPr>
            <w:tcW w:type="dxa" w:w="3581"/>
            <w:shd w:val="clear" w:color="auto" w:fill="F2F5F8"/>
          </w:tcPr>
          <w:p>
            <w:pPr>
              <w:spacing w:after="0"/>
              <w:jc w:val="left"/>
            </w:pPr>
            <w:r/>
            <w:r>
              <w:rPr>
                <w:rFonts w:ascii="Calibri" w:hAnsi="Calibri"/>
                <w:b/>
                <w:color w:val="1A1A1A"/>
                <w:sz w:val="24"/>
              </w:rPr>
              <w:t>4. Competência exigida</w:t>
            </w:r>
          </w:p>
        </w:tc>
        <w:tc>
          <w:tcPr>
            <w:tcW w:type="dxa" w:w="5491"/>
            <w:shd w:val="clear" w:color="auto" w:fill="F2F5F8"/>
          </w:tcPr>
          <w:p>
            <w:pPr>
              <w:spacing w:after="0"/>
              <w:jc w:val="left"/>
            </w:pPr>
            <w:r/>
            <w:r>
              <w:rPr>
                <w:rFonts w:ascii="Calibri" w:hAnsi="Calibri"/>
                <w:b w:val="0"/>
                <w:color w:val="1A1A1A"/>
                <w:sz w:val="24"/>
              </w:rPr>
              <w:t>Profissional ou integrante da equipe designado e treinado. Responsável Técnico pela política de guarda e de acesso.</w:t>
            </w:r>
          </w:p>
        </w:tc>
      </w:tr>
      <w:tr>
        <w:trPr>
          <w:cantSplit/>
        </w:trPr>
        <w:tc>
          <w:tcPr>
            <w:tcW w:type="dxa" w:w="3581"/>
          </w:tcPr>
          <w:p>
            <w:pPr>
              <w:spacing w:after="0"/>
              <w:jc w:val="left"/>
            </w:pPr>
            <w:r/>
            <w:r>
              <w:rPr>
                <w:rFonts w:ascii="Calibri" w:hAnsi="Calibri"/>
                <w:b/>
                <w:color w:val="1A1A1A"/>
                <w:sz w:val="24"/>
              </w:rPr>
              <w:t>5. Materiais e equipamentos</w:t>
            </w:r>
          </w:p>
        </w:tc>
        <w:tc>
          <w:tcPr>
            <w:tcW w:type="dxa" w:w="5491"/>
          </w:tcPr>
          <w:p>
            <w:pPr>
              <w:spacing w:after="0"/>
              <w:jc w:val="left"/>
            </w:pPr>
            <w:r/>
            <w:r>
              <w:rPr>
                <w:rFonts w:ascii="Calibri" w:hAnsi="Calibri"/>
                <w:b w:val="0"/>
                <w:color w:val="1A1A1A"/>
                <w:sz w:val="24"/>
              </w:rPr>
              <w:t>Equipamento fotográfico; suporte ou marcação de posicionamento; iluminação padronizada; fundo neutro; afastadores quando aplicáveis; sistema de armazenamento com controle de acesso.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para uso de imagem assinado, com finalidade declarada.</w:t>
      </w:r>
    </w:p>
    <w:p>
      <w:pPr>
        <w:pStyle w:val="ListBullet"/>
        <w:spacing w:after="60"/>
        <w:ind w:left="397"/>
        <w:jc w:val="both"/>
      </w:pPr>
      <w:r>
        <w:rPr>
          <w:rFonts w:ascii="Calibri" w:hAnsi="Calibri"/>
          <w:color w:val="1A1A1A"/>
          <w:sz w:val="24"/>
        </w:rPr>
        <w:t>☐  Equipamento e iluminação nas condições padronizadas do serviço.</w:t>
      </w:r>
    </w:p>
    <w:p>
      <w:pPr>
        <w:pStyle w:val="ListBullet"/>
        <w:spacing w:after="60"/>
        <w:ind w:left="397"/>
        <w:jc w:val="both"/>
      </w:pPr>
      <w:r>
        <w:rPr>
          <w:rFonts w:ascii="Calibri" w:hAnsi="Calibri"/>
          <w:color w:val="1A1A1A"/>
          <w:sz w:val="24"/>
        </w:rPr>
        <w:t>☐  Identificação do paciente conferida antes da captura.</w:t>
      </w:r>
    </w:p>
    <w:p>
      <w:pPr>
        <w:pStyle w:val="ListBullet"/>
        <w:spacing w:after="60"/>
        <w:ind w:left="397"/>
        <w:jc w:val="both"/>
      </w:pPr>
      <w:r>
        <w:rPr>
          <w:rFonts w:ascii="Calibri" w:hAnsi="Calibri"/>
          <w:color w:val="1A1A1A"/>
          <w:sz w:val="24"/>
        </w:rPr>
        <w:t>☐  Sistema de armazenamento acessível e com controle de acesso ativo.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tomadas padronizadas frontal, oblíquas e de perfil, conforme protocolo do serviço.</w:t>
      </w:r>
    </w:p>
    <w:p>
      <w:pPr>
        <w:pStyle w:val="ListNumber"/>
        <w:spacing w:after="60"/>
        <w:ind w:left="397"/>
        <w:jc w:val="both"/>
      </w:pPr>
      <w:r>
        <w:rPr>
          <w:rFonts w:ascii="Calibri" w:hAnsi="Calibri"/>
          <w:color w:val="1A1A1A"/>
          <w:sz w:val="24"/>
        </w:rPr>
        <w:t>Manter distância, enquadramento, iluminação, fundo e posicionamento constantes entre sessões.</w:t>
      </w:r>
    </w:p>
    <w:p>
      <w:pPr>
        <w:pStyle w:val="ListNumber"/>
        <w:spacing w:after="60"/>
        <w:ind w:left="397"/>
        <w:jc w:val="both"/>
      </w:pPr>
      <w:r>
        <w:rPr>
          <w:rFonts w:ascii="Calibri" w:hAnsi="Calibri"/>
          <w:color w:val="1A1A1A"/>
          <w:sz w:val="24"/>
        </w:rPr>
        <w:t>Evitar adornos, maquiagem e elementos que alterem a comparabilidade, quando pertinente.</w:t>
      </w:r>
    </w:p>
    <w:p>
      <w:pPr>
        <w:pStyle w:val="ListNumber"/>
        <w:spacing w:after="60"/>
        <w:ind w:left="397"/>
        <w:jc w:val="both"/>
      </w:pPr>
      <w:r>
        <w:rPr>
          <w:rFonts w:ascii="Calibri" w:hAnsi="Calibri"/>
          <w:color w:val="1A1A1A"/>
          <w:sz w:val="24"/>
        </w:rPr>
        <w:t>Conferir a qualidade da imagem antes de encerrar a sessão de captura.</w:t>
      </w:r>
    </w:p>
    <w:p>
      <w:pPr>
        <w:pStyle w:val="ListNumber"/>
        <w:spacing w:after="60"/>
        <w:ind w:left="397"/>
        <w:jc w:val="both"/>
      </w:pPr>
      <w:r>
        <w:rPr>
          <w:rFonts w:ascii="Calibri" w:hAnsi="Calibri"/>
          <w:color w:val="1A1A1A"/>
          <w:sz w:val="24"/>
        </w:rPr>
        <w:t>Transferir as imagens ao sistema de armazenamento e eliminá-las do dispositivo de captura quando este não for o repositório definitivo.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Imagem capturada sem consentimento correspondente.</w:t>
      </w:r>
    </w:p>
    <w:p>
      <w:pPr>
        <w:pStyle w:val="ListBullet"/>
        <w:spacing w:after="60"/>
        <w:ind w:left="397"/>
        <w:jc w:val="both"/>
      </w:pPr>
      <w:r>
        <w:rPr>
          <w:rFonts w:ascii="Calibri" w:hAnsi="Calibri"/>
          <w:color w:val="1A1A1A"/>
          <w:sz w:val="24"/>
        </w:rPr>
        <w:t>Armazenamento em dispositivo pessoal ou aplicativo de mensagem.</w:t>
      </w:r>
    </w:p>
    <w:p>
      <w:pPr>
        <w:pStyle w:val="ListBullet"/>
        <w:spacing w:after="60"/>
        <w:ind w:left="397"/>
        <w:jc w:val="both"/>
      </w:pPr>
      <w:r>
        <w:rPr>
          <w:rFonts w:ascii="Calibri" w:hAnsi="Calibri"/>
          <w:color w:val="1A1A1A"/>
          <w:sz w:val="24"/>
        </w:rPr>
        <w:t>Divergência de padrão que inviabilize a comparação entre sessões.</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acesso indevido ou de vazamento de imagem exige registro imediato, avaliação de comunicação ao titular e às autoridades competentes, e revisão dos controles de acesso.</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Data, finalidade clínica e identificação do paciente.</w:t>
      </w:r>
    </w:p>
    <w:p>
      <w:pPr>
        <w:pStyle w:val="ListBullet"/>
        <w:spacing w:after="60"/>
        <w:ind w:left="397"/>
        <w:jc w:val="both"/>
      </w:pPr>
      <w:r>
        <w:rPr>
          <w:rFonts w:ascii="Calibri" w:hAnsi="Calibri"/>
          <w:color w:val="1A1A1A"/>
          <w:sz w:val="24"/>
        </w:rPr>
        <w:t>Consentimento vinculado à finalidade.</w:t>
      </w:r>
    </w:p>
    <w:p>
      <w:pPr>
        <w:pStyle w:val="ListBullet"/>
        <w:spacing w:after="60"/>
        <w:ind w:left="397"/>
        <w:jc w:val="both"/>
      </w:pPr>
      <w:r>
        <w:rPr>
          <w:rFonts w:ascii="Calibri" w:hAnsi="Calibri"/>
          <w:color w:val="1A1A1A"/>
          <w:sz w:val="24"/>
        </w:rPr>
        <w:t>Responsável pela captura.</w:t>
      </w:r>
    </w:p>
    <w:p>
      <w:pPr>
        <w:pStyle w:val="ListBullet"/>
        <w:spacing w:after="60"/>
        <w:ind w:left="397"/>
        <w:jc w:val="both"/>
      </w:pPr>
      <w:r>
        <w:rPr>
          <w:rFonts w:ascii="Calibri" w:hAnsi="Calibri"/>
          <w:color w:val="1A1A1A"/>
          <w:sz w:val="24"/>
        </w:rPr>
        <w:t>Local de armazenamento e política de retenção aplicada.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o controle de acesso e a política de retenção. Eliminar imagens conforme a política declarada, com registro da eliminação.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Lei nº 13.709/2018. Lei nº 15.378/2026. Documento 10 do pacote. POP-N5-T03.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POP-N5-13  Rastreabilidade de produtos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81"/>
        <w:gridCol w:w="5491"/>
      </w:tblGrid>
      <w:tr>
        <w:trPr>
          <w:cantSplit/>
          <w:tblHeader/>
        </w:trPr>
        <w:tc>
          <w:tcPr>
            <w:tcW w:type="dxa" w:w="3581"/>
            <w:shd w:val="clear" w:color="auto" w:fill="143C64"/>
          </w:tcPr>
          <w:p>
            <w:pPr>
              <w:spacing w:after="0"/>
              <w:jc w:val="left"/>
            </w:pPr>
            <w:r/>
            <w:r>
              <w:rPr>
                <w:rFonts w:ascii="Calibri" w:hAnsi="Calibri"/>
                <w:b/>
                <w:color w:val="FFFFFF"/>
                <w:sz w:val="24"/>
              </w:rPr>
              <w:t>Campo</w:t>
            </w:r>
          </w:p>
        </w:tc>
        <w:tc>
          <w:tcPr>
            <w:tcW w:type="dxa" w:w="5491"/>
            <w:shd w:val="clear" w:color="auto" w:fill="143C64"/>
          </w:tcPr>
          <w:p>
            <w:pPr>
              <w:spacing w:after="0"/>
              <w:jc w:val="left"/>
            </w:pPr>
            <w:r/>
            <w:r>
              <w:rPr>
                <w:rFonts w:ascii="Calibri" w:hAnsi="Calibri"/>
                <w:b/>
                <w:color w:val="FFFFFF"/>
                <w:sz w:val="24"/>
              </w:rPr>
              <w:t>Conteúdo</w:t>
            </w:r>
          </w:p>
        </w:tc>
      </w:tr>
      <w:tr>
        <w:trPr>
          <w:cantSplit/>
        </w:trPr>
        <w:tc>
          <w:tcPr>
            <w:tcW w:type="dxa" w:w="3581"/>
          </w:tcPr>
          <w:p>
            <w:pPr>
              <w:spacing w:after="0"/>
              <w:jc w:val="left"/>
            </w:pPr>
            <w:r/>
            <w:r>
              <w:rPr>
                <w:rFonts w:ascii="Calibri" w:hAnsi="Calibri"/>
                <w:b/>
                <w:color w:val="1A1A1A"/>
                <w:sz w:val="24"/>
              </w:rPr>
              <w:t>1. Identificação</w:t>
            </w:r>
          </w:p>
        </w:tc>
        <w:tc>
          <w:tcPr>
            <w:tcW w:type="dxa" w:w="5491"/>
          </w:tcPr>
          <w:p>
            <w:pPr>
              <w:spacing w:after="0"/>
              <w:jc w:val="left"/>
            </w:pPr>
            <w:r/>
            <w:r>
              <w:rPr>
                <w:rFonts w:ascii="Calibri" w:hAnsi="Calibri"/>
                <w:b w:val="0"/>
                <w:color w:val="1A1A1A"/>
                <w:sz w:val="24"/>
              </w:rPr>
              <w:t>Código POP-N5-13. Versão 1.0. Emissão em 26 de agosto de 2026. Próxima revisão em até doze meses. Onda de produção 2. Situação de escopo: Livre. Responsável técnico pela redação: Campo de preenchimento pelo serviço.</w:t>
            </w:r>
          </w:p>
        </w:tc>
      </w:tr>
      <w:tr>
        <w:trPr>
          <w:cantSplit/>
        </w:trPr>
        <w:tc>
          <w:tcPr>
            <w:tcW w:type="dxa" w:w="3581"/>
            <w:shd w:val="clear" w:color="auto" w:fill="F2F5F8"/>
          </w:tcPr>
          <w:p>
            <w:pPr>
              <w:spacing w:after="0"/>
              <w:jc w:val="left"/>
            </w:pPr>
            <w:r/>
            <w:r>
              <w:rPr>
                <w:rFonts w:ascii="Calibri" w:hAnsi="Calibri"/>
                <w:b/>
                <w:color w:val="1A1A1A"/>
                <w:sz w:val="24"/>
              </w:rPr>
              <w:t>2. Objetivo e alcance</w:t>
            </w:r>
          </w:p>
        </w:tc>
        <w:tc>
          <w:tcPr>
            <w:tcW w:type="dxa" w:w="5491"/>
            <w:shd w:val="clear" w:color="auto" w:fill="F2F5F8"/>
          </w:tcPr>
          <w:p>
            <w:pPr>
              <w:spacing w:after="0"/>
              <w:jc w:val="left"/>
            </w:pPr>
            <w:r/>
            <w:r>
              <w:rPr>
                <w:rFonts w:ascii="Calibri" w:hAnsi="Calibri"/>
                <w:b w:val="0"/>
                <w:color w:val="1A1A1A"/>
                <w:sz w:val="24"/>
              </w:rPr>
              <w:t>Garantir que qualquer procedimento realizado possa ser reconstruído posteriormente quanto a produto, lote, validade, quantidade, região e responsável, sem depender da memória.</w:t>
            </w:r>
          </w:p>
        </w:tc>
      </w:tr>
      <w:tr>
        <w:trPr>
          <w:cantSplit/>
        </w:trPr>
        <w:tc>
          <w:tcPr>
            <w:tcW w:type="dxa" w:w="3581"/>
          </w:tcPr>
          <w:p>
            <w:pPr>
              <w:spacing w:after="0"/>
              <w:jc w:val="left"/>
            </w:pPr>
            <w:r/>
            <w:r>
              <w:rPr>
                <w:rFonts w:ascii="Calibri" w:hAnsi="Calibri"/>
                <w:b/>
                <w:color w:val="1A1A1A"/>
                <w:sz w:val="24"/>
              </w:rPr>
              <w:t>3. Situação regulatória</w:t>
            </w:r>
          </w:p>
        </w:tc>
        <w:tc>
          <w:tcPr>
            <w:tcW w:type="dxa" w:w="5491"/>
          </w:tcPr>
          <w:p>
            <w:pPr>
              <w:spacing w:after="0"/>
              <w:jc w:val="left"/>
            </w:pPr>
            <w:r/>
            <w:r>
              <w:rPr>
                <w:rFonts w:ascii="Calibri" w:hAnsi="Calibri"/>
                <w:b w:val="0"/>
                <w:color w:val="1A1A1A"/>
                <w:sz w:val="24"/>
              </w:rPr>
              <w:t>RDC Anvisa nº 1.002/2025 e nº 751/2022. A rastreabilidade é condição para notificação de queixa técnica e para investigação de evento adverso.</w:t>
            </w:r>
          </w:p>
        </w:tc>
      </w:tr>
      <w:tr>
        <w:trPr>
          <w:cantSplit/>
        </w:trPr>
        <w:tc>
          <w:tcPr>
            <w:tcW w:type="dxa" w:w="3581"/>
            <w:shd w:val="clear" w:color="auto" w:fill="F2F5F8"/>
          </w:tcPr>
          <w:p>
            <w:pPr>
              <w:spacing w:after="0"/>
              <w:jc w:val="left"/>
            </w:pPr>
            <w:r/>
            <w:r>
              <w:rPr>
                <w:rFonts w:ascii="Calibri" w:hAnsi="Calibri"/>
                <w:b/>
                <w:color w:val="1A1A1A"/>
                <w:sz w:val="24"/>
              </w:rPr>
              <w:t>4. Competência exigida</w:t>
            </w:r>
          </w:p>
        </w:tc>
        <w:tc>
          <w:tcPr>
            <w:tcW w:type="dxa" w:w="5491"/>
            <w:shd w:val="clear" w:color="auto" w:fill="F2F5F8"/>
          </w:tcPr>
          <w:p>
            <w:pPr>
              <w:spacing w:after="0"/>
              <w:jc w:val="left"/>
            </w:pPr>
            <w:r/>
            <w:r>
              <w:rPr>
                <w:rFonts w:ascii="Calibri" w:hAnsi="Calibri"/>
                <w:b w:val="0"/>
                <w:color w:val="1A1A1A"/>
                <w:sz w:val="24"/>
              </w:rPr>
              <w:t>Profissional executante quanto ao registro do procedimento. Responsável Técnico quanto ao controle de estoque e à política de guarda.</w:t>
            </w:r>
          </w:p>
        </w:tc>
      </w:tr>
      <w:tr>
        <w:trPr>
          <w:cantSplit/>
        </w:trPr>
        <w:tc>
          <w:tcPr>
            <w:tcW w:type="dxa" w:w="3581"/>
          </w:tcPr>
          <w:p>
            <w:pPr>
              <w:spacing w:after="0"/>
              <w:jc w:val="left"/>
            </w:pPr>
            <w:r/>
            <w:r>
              <w:rPr>
                <w:rFonts w:ascii="Calibri" w:hAnsi="Calibri"/>
                <w:b/>
                <w:color w:val="1A1A1A"/>
                <w:sz w:val="24"/>
              </w:rPr>
              <w:t>5. Materiais e equipamentos</w:t>
            </w:r>
          </w:p>
        </w:tc>
        <w:tc>
          <w:tcPr>
            <w:tcW w:type="dxa" w:w="5491"/>
          </w:tcPr>
          <w:p>
            <w:pPr>
              <w:spacing w:after="0"/>
              <w:jc w:val="left"/>
            </w:pPr>
            <w:r/>
            <w:r>
              <w:rPr>
                <w:rFonts w:ascii="Calibri" w:hAnsi="Calibri"/>
                <w:b w:val="0"/>
                <w:color w:val="1A1A1A"/>
                <w:sz w:val="24"/>
              </w:rPr>
              <w:t>Sistema ou planilha de controle de estoque; etiquetas de lote ou registro fotográfico da embalagem; prontuário.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Produto conferido quanto a identificação, integridade, lote e validade antes do uso.</w:t>
      </w:r>
    </w:p>
    <w:p>
      <w:pPr>
        <w:pStyle w:val="ListBullet"/>
        <w:spacing w:after="60"/>
        <w:ind w:left="397"/>
        <w:jc w:val="both"/>
      </w:pPr>
      <w:r>
        <w:rPr>
          <w:rFonts w:ascii="Calibri" w:hAnsi="Calibri"/>
          <w:color w:val="1A1A1A"/>
          <w:sz w:val="24"/>
        </w:rPr>
        <w:t>☐  Condições de armazenamento conforme rotulagem, verificadas e registradas.</w:t>
      </w:r>
    </w:p>
    <w:p>
      <w:pPr>
        <w:pStyle w:val="ListBullet"/>
        <w:spacing w:after="60"/>
        <w:ind w:left="397"/>
        <w:jc w:val="both"/>
      </w:pPr>
      <w:r>
        <w:rPr>
          <w:rFonts w:ascii="Calibri" w:hAnsi="Calibri"/>
          <w:color w:val="1A1A1A"/>
          <w:sz w:val="24"/>
        </w:rPr>
        <w:t>☐  Estoque conferido periodicamente, com identificação de itens próximos do vencimento.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Registrar produto, fabricante, lote e validade antes ou imediatamente após o uso.</w:t>
      </w:r>
    </w:p>
    <w:p>
      <w:pPr>
        <w:pStyle w:val="ListNumber"/>
        <w:spacing w:after="60"/>
        <w:ind w:left="397"/>
        <w:jc w:val="both"/>
      </w:pPr>
      <w:r>
        <w:rPr>
          <w:rFonts w:ascii="Calibri" w:hAnsi="Calibri"/>
          <w:color w:val="1A1A1A"/>
          <w:sz w:val="24"/>
        </w:rPr>
        <w:t>Registrar quantidade utilizada, concentração e diluição quando aplicável.</w:t>
      </w:r>
    </w:p>
    <w:p>
      <w:pPr>
        <w:pStyle w:val="ListNumber"/>
        <w:spacing w:after="60"/>
        <w:ind w:left="397"/>
        <w:jc w:val="both"/>
      </w:pPr>
      <w:r>
        <w:rPr>
          <w:rFonts w:ascii="Calibri" w:hAnsi="Calibri"/>
          <w:color w:val="1A1A1A"/>
          <w:sz w:val="24"/>
        </w:rPr>
        <w:t>Registrar região tratada, lado e técnica empregada.</w:t>
      </w:r>
    </w:p>
    <w:p>
      <w:pPr>
        <w:pStyle w:val="ListNumber"/>
        <w:spacing w:after="60"/>
        <w:ind w:left="397"/>
        <w:jc w:val="both"/>
      </w:pPr>
      <w:r>
        <w:rPr>
          <w:rFonts w:ascii="Calibri" w:hAnsi="Calibri"/>
          <w:color w:val="1A1A1A"/>
          <w:sz w:val="24"/>
        </w:rPr>
        <w:t>Preservar a etiqueta do lote no prontuário ou registrar a embalagem por fotografia.</w:t>
      </w:r>
    </w:p>
    <w:p>
      <w:pPr>
        <w:pStyle w:val="ListNumber"/>
        <w:spacing w:after="60"/>
        <w:ind w:left="397"/>
        <w:jc w:val="both"/>
      </w:pPr>
      <w:r>
        <w:rPr>
          <w:rFonts w:ascii="Calibri" w:hAnsi="Calibri"/>
          <w:color w:val="1A1A1A"/>
          <w:sz w:val="24"/>
        </w:rPr>
        <w:t>Dar baixa no controle de estoque, mantendo a correspondência entre o que saiu e o que foi registrado em prontuário.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Divergência entre baixa de estoque e registro em prontuário.</w:t>
      </w:r>
    </w:p>
    <w:p>
      <w:pPr>
        <w:pStyle w:val="ListBullet"/>
        <w:spacing w:after="60"/>
        <w:ind w:left="397"/>
        <w:jc w:val="both"/>
      </w:pPr>
      <w:r>
        <w:rPr>
          <w:rFonts w:ascii="Calibri" w:hAnsi="Calibri"/>
          <w:color w:val="1A1A1A"/>
          <w:sz w:val="24"/>
        </w:rPr>
        <w:t>Produto sem identificação de lote legível.</w:t>
      </w:r>
    </w:p>
    <w:p>
      <w:pPr>
        <w:pStyle w:val="ListBullet"/>
        <w:spacing w:after="60"/>
        <w:ind w:left="397"/>
        <w:jc w:val="both"/>
      </w:pPr>
      <w:r>
        <w:rPr>
          <w:rFonts w:ascii="Calibri" w:hAnsi="Calibri"/>
          <w:color w:val="1A1A1A"/>
          <w:sz w:val="24"/>
        </w:rPr>
        <w:t>Condição de armazenamento fora da faixa prevista na rotulagem.</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Identificada divergência, suspender o uso do lote envolvido, registrar a ocorrência, investigar a causa e avaliar notificação conforme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Registro completo no prontuário de cada procedimento.</w:t>
      </w:r>
    </w:p>
    <w:p>
      <w:pPr>
        <w:pStyle w:val="ListBullet"/>
        <w:spacing w:after="60"/>
        <w:ind w:left="397"/>
        <w:jc w:val="both"/>
      </w:pPr>
      <w:r>
        <w:rPr>
          <w:rFonts w:ascii="Calibri" w:hAnsi="Calibri"/>
          <w:color w:val="1A1A1A"/>
          <w:sz w:val="24"/>
        </w:rPr>
        <w:t>Controle de estoque com entrada, saída e validade.</w:t>
      </w:r>
    </w:p>
    <w:p>
      <w:pPr>
        <w:pStyle w:val="ListBullet"/>
        <w:spacing w:after="60"/>
        <w:ind w:left="397"/>
        <w:jc w:val="both"/>
      </w:pPr>
      <w:r>
        <w:rPr>
          <w:rFonts w:ascii="Calibri" w:hAnsi="Calibri"/>
          <w:color w:val="1A1A1A"/>
          <w:sz w:val="24"/>
        </w:rPr>
        <w:t>Registro de condições de armazenamento, quando monitoradas.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 consistência entre estoque e prontuário. Manter os registros pelo prazo da política de guarda declarada pelo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e nº 751/2022. Documento 10 do pacote. POP-N5-T03.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POP-N5-14  Preparo, limpeza e conservação de equipamento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02"/>
        <w:gridCol w:w="5370"/>
      </w:tblGrid>
      <w:tr>
        <w:trPr>
          <w:cantSplit/>
          <w:tblHeader/>
        </w:trPr>
        <w:tc>
          <w:tcPr>
            <w:tcW w:type="dxa" w:w="3702"/>
            <w:shd w:val="clear" w:color="auto" w:fill="143C64"/>
          </w:tcPr>
          <w:p>
            <w:pPr>
              <w:spacing w:after="0"/>
              <w:jc w:val="left"/>
            </w:pPr>
            <w:r/>
            <w:r>
              <w:rPr>
                <w:rFonts w:ascii="Calibri" w:hAnsi="Calibri"/>
                <w:b/>
                <w:color w:val="FFFFFF"/>
                <w:sz w:val="24"/>
              </w:rPr>
              <w:t>Campo</w:t>
            </w:r>
          </w:p>
        </w:tc>
        <w:tc>
          <w:tcPr>
            <w:tcW w:type="dxa" w:w="5370"/>
            <w:shd w:val="clear" w:color="auto" w:fill="143C64"/>
          </w:tcPr>
          <w:p>
            <w:pPr>
              <w:spacing w:after="0"/>
              <w:jc w:val="left"/>
            </w:pPr>
            <w:r/>
            <w:r>
              <w:rPr>
                <w:rFonts w:ascii="Calibri" w:hAnsi="Calibri"/>
                <w:b/>
                <w:color w:val="FFFFFF"/>
                <w:sz w:val="24"/>
              </w:rPr>
              <w:t>Conteúdo</w:t>
            </w:r>
          </w:p>
        </w:tc>
      </w:tr>
      <w:tr>
        <w:trPr>
          <w:cantSplit/>
        </w:trPr>
        <w:tc>
          <w:tcPr>
            <w:tcW w:type="dxa" w:w="3702"/>
          </w:tcPr>
          <w:p>
            <w:pPr>
              <w:spacing w:after="0"/>
              <w:jc w:val="left"/>
            </w:pPr>
            <w:r/>
            <w:r>
              <w:rPr>
                <w:rFonts w:ascii="Calibri" w:hAnsi="Calibri"/>
                <w:b/>
                <w:color w:val="1A1A1A"/>
                <w:sz w:val="24"/>
              </w:rPr>
              <w:t>1. Identificação</w:t>
            </w:r>
          </w:p>
        </w:tc>
        <w:tc>
          <w:tcPr>
            <w:tcW w:type="dxa" w:w="5370"/>
          </w:tcPr>
          <w:p>
            <w:pPr>
              <w:spacing w:after="0"/>
              <w:jc w:val="left"/>
            </w:pPr>
            <w:r/>
            <w:r>
              <w:rPr>
                <w:rFonts w:ascii="Calibri" w:hAnsi="Calibri"/>
                <w:b w:val="0"/>
                <w:color w:val="1A1A1A"/>
                <w:sz w:val="24"/>
              </w:rPr>
              <w:t>Código POP-N5-14. Versão 1.0. Emissão em 26 de agosto de 2026. Próxima revisão em até doze meses. Onda de produção 2. Situação de escopo: Livre. Responsável técnico pela redação: Campo de preenchimento pelo serviço.</w:t>
            </w:r>
          </w:p>
        </w:tc>
      </w:tr>
      <w:tr>
        <w:trPr>
          <w:cantSplit/>
        </w:trPr>
        <w:tc>
          <w:tcPr>
            <w:tcW w:type="dxa" w:w="3702"/>
            <w:shd w:val="clear" w:color="auto" w:fill="F2F5F8"/>
          </w:tcPr>
          <w:p>
            <w:pPr>
              <w:spacing w:after="0"/>
              <w:jc w:val="left"/>
            </w:pPr>
            <w:r/>
            <w:r>
              <w:rPr>
                <w:rFonts w:ascii="Calibri" w:hAnsi="Calibri"/>
                <w:b/>
                <w:color w:val="1A1A1A"/>
                <w:sz w:val="24"/>
              </w:rPr>
              <w:t>2. Objetivo e alcance</w:t>
            </w:r>
          </w:p>
        </w:tc>
        <w:tc>
          <w:tcPr>
            <w:tcW w:type="dxa" w:w="5370"/>
            <w:shd w:val="clear" w:color="auto" w:fill="F2F5F8"/>
          </w:tcPr>
          <w:p>
            <w:pPr>
              <w:spacing w:after="0"/>
              <w:jc w:val="left"/>
            </w:pPr>
            <w:r/>
            <w:r>
              <w:rPr>
                <w:rFonts w:ascii="Calibri" w:hAnsi="Calibri"/>
                <w:b w:val="0"/>
                <w:color w:val="1A1A1A"/>
                <w:sz w:val="24"/>
              </w:rPr>
              <w:t>Padronizar o preparo antes do uso, a limpeza após o uso, a conservação e a verificação periódica de equipamentos empregados em Harmonização Orofacial.</w:t>
            </w:r>
          </w:p>
        </w:tc>
      </w:tr>
      <w:tr>
        <w:trPr>
          <w:cantSplit/>
        </w:trPr>
        <w:tc>
          <w:tcPr>
            <w:tcW w:type="dxa" w:w="3702"/>
          </w:tcPr>
          <w:p>
            <w:pPr>
              <w:spacing w:after="0"/>
              <w:jc w:val="left"/>
            </w:pPr>
            <w:r/>
            <w:r>
              <w:rPr>
                <w:rFonts w:ascii="Calibri" w:hAnsi="Calibri"/>
                <w:b/>
                <w:color w:val="1A1A1A"/>
                <w:sz w:val="24"/>
              </w:rPr>
              <w:t>3. Situação regulatória</w:t>
            </w:r>
          </w:p>
        </w:tc>
        <w:tc>
          <w:tcPr>
            <w:tcW w:type="dxa" w:w="5370"/>
          </w:tcPr>
          <w:p>
            <w:pPr>
              <w:spacing w:after="0"/>
              <w:jc w:val="left"/>
            </w:pPr>
            <w:r/>
            <w:r>
              <w:rPr>
                <w:rFonts w:ascii="Calibri" w:hAnsi="Calibri"/>
                <w:b w:val="0"/>
                <w:color w:val="1A1A1A"/>
                <w:sz w:val="24"/>
              </w:rPr>
              <w:t>RDC Anvisa nº 1.002/2025, nº 509/2021, nº 751/2022 e, quando aplicável, nº 549/2021. As rotinas seguem também as instruções do fabricante e o Plano de Gerenciamento do serviço.</w:t>
            </w:r>
          </w:p>
        </w:tc>
      </w:tr>
      <w:tr>
        <w:trPr>
          <w:cantSplit/>
        </w:trPr>
        <w:tc>
          <w:tcPr>
            <w:tcW w:type="dxa" w:w="3702"/>
            <w:shd w:val="clear" w:color="auto" w:fill="F2F5F8"/>
          </w:tcPr>
          <w:p>
            <w:pPr>
              <w:spacing w:after="0"/>
              <w:jc w:val="left"/>
            </w:pPr>
            <w:r/>
            <w:r>
              <w:rPr>
                <w:rFonts w:ascii="Calibri" w:hAnsi="Calibri"/>
                <w:b/>
                <w:color w:val="1A1A1A"/>
                <w:sz w:val="24"/>
              </w:rPr>
              <w:t>4. Competência exigida</w:t>
            </w:r>
          </w:p>
        </w:tc>
        <w:tc>
          <w:tcPr>
            <w:tcW w:type="dxa" w:w="5370"/>
            <w:shd w:val="clear" w:color="auto" w:fill="F2F5F8"/>
          </w:tcPr>
          <w:p>
            <w:pPr>
              <w:spacing w:after="0"/>
              <w:jc w:val="left"/>
            </w:pPr>
            <w:r/>
            <w:r>
              <w:rPr>
                <w:rFonts w:ascii="Calibri" w:hAnsi="Calibri"/>
                <w:b w:val="0"/>
                <w:color w:val="1A1A1A"/>
                <w:sz w:val="24"/>
              </w:rPr>
              <w:t>Profissional ou integrante da equipe treinado para o equipamento específico. Responsável Técnico pelo plano de manutenção e pelas liberações para uso.</w:t>
            </w:r>
          </w:p>
        </w:tc>
      </w:tr>
      <w:tr>
        <w:trPr>
          <w:cantSplit/>
        </w:trPr>
        <w:tc>
          <w:tcPr>
            <w:tcW w:type="dxa" w:w="3702"/>
          </w:tcPr>
          <w:p>
            <w:pPr>
              <w:spacing w:after="0"/>
              <w:jc w:val="left"/>
            </w:pPr>
            <w:r/>
            <w:r>
              <w:rPr>
                <w:rFonts w:ascii="Calibri" w:hAnsi="Calibri"/>
                <w:b/>
                <w:color w:val="1A1A1A"/>
                <w:sz w:val="24"/>
              </w:rPr>
              <w:t>5. Materiais e equipamentos</w:t>
            </w:r>
          </w:p>
        </w:tc>
        <w:tc>
          <w:tcPr>
            <w:tcW w:type="dxa" w:w="5370"/>
          </w:tcPr>
          <w:p>
            <w:pPr>
              <w:spacing w:after="0"/>
              <w:jc w:val="left"/>
            </w:pPr>
            <w:r/>
            <w:r>
              <w:rPr>
                <w:rFonts w:ascii="Calibri" w:hAnsi="Calibri"/>
                <w:b w:val="0"/>
                <w:color w:val="1A1A1A"/>
                <w:sz w:val="24"/>
              </w:rPr>
              <w:t>Manual e instruções de uso do equipamento; produtos de limpeza e desinfecção compatíveis; acessórios e consumíveis previstos; local de guarda adequado; registro de manutenção.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Equipamento regularizado, com situação consultada e data registrada.</w:t>
      </w:r>
    </w:p>
    <w:p>
      <w:pPr>
        <w:pStyle w:val="ListBullet"/>
        <w:spacing w:after="60"/>
        <w:ind w:left="397"/>
        <w:jc w:val="both"/>
      </w:pPr>
      <w:r>
        <w:rPr>
          <w:rFonts w:ascii="Calibri" w:hAnsi="Calibri"/>
          <w:color w:val="1A1A1A"/>
          <w:sz w:val="24"/>
        </w:rPr>
        <w:t>☐  Integridade física, cabos, conectores, acessórios e alimentação elétrica.</w:t>
      </w:r>
    </w:p>
    <w:p>
      <w:pPr>
        <w:pStyle w:val="ListBullet"/>
        <w:spacing w:after="60"/>
        <w:ind w:left="397"/>
        <w:jc w:val="both"/>
      </w:pPr>
      <w:r>
        <w:rPr>
          <w:rFonts w:ascii="Calibri" w:hAnsi="Calibri"/>
          <w:color w:val="1A1A1A"/>
          <w:sz w:val="24"/>
        </w:rPr>
        <w:t>☐  Manutenção preventiva, calibração ou verificação de desempenho em dia, conforme o plano.</w:t>
      </w:r>
    </w:p>
    <w:p>
      <w:pPr>
        <w:pStyle w:val="ListBullet"/>
        <w:spacing w:after="60"/>
        <w:ind w:left="397"/>
        <w:jc w:val="both"/>
      </w:pPr>
      <w:r>
        <w:rPr>
          <w:rFonts w:ascii="Calibri" w:hAnsi="Calibri"/>
          <w:color w:val="1A1A1A"/>
          <w:sz w:val="24"/>
        </w:rPr>
        <w:t>☐  Ausência de alerta sanitário ou recolhimento pendente para o modelo.</w:t>
      </w:r>
    </w:p>
    <w:p>
      <w:pPr>
        <w:pStyle w:val="ListBullet"/>
        <w:spacing w:after="60"/>
        <w:ind w:left="397"/>
        <w:jc w:val="both"/>
      </w:pPr>
      <w:r>
        <w:rPr>
          <w:rFonts w:ascii="Calibri" w:hAnsi="Calibri"/>
          <w:color w:val="1A1A1A"/>
          <w:sz w:val="24"/>
        </w:rPr>
        <w:t>☐  Condições ambientais e elétricas do local conforme especificação do fabricante.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checagem pré-uso prevista pelo fabricante antes do primeiro atendimento do dia.</w:t>
      </w:r>
    </w:p>
    <w:p>
      <w:pPr>
        <w:pStyle w:val="ListNumber"/>
        <w:spacing w:after="60"/>
        <w:ind w:left="397"/>
        <w:jc w:val="both"/>
      </w:pPr>
      <w:r>
        <w:rPr>
          <w:rFonts w:ascii="Calibri" w:hAnsi="Calibri"/>
          <w:color w:val="1A1A1A"/>
          <w:sz w:val="24"/>
        </w:rPr>
        <w:t>Conferir os parâmetros antes de cada aplicação, registrando os efetivamente utilizados.</w:t>
      </w:r>
    </w:p>
    <w:p>
      <w:pPr>
        <w:pStyle w:val="ListNumber"/>
        <w:spacing w:after="60"/>
        <w:ind w:left="397"/>
        <w:jc w:val="both"/>
      </w:pPr>
      <w:r>
        <w:rPr>
          <w:rFonts w:ascii="Calibri" w:hAnsi="Calibri"/>
          <w:color w:val="1A1A1A"/>
          <w:sz w:val="24"/>
        </w:rPr>
        <w:t>Limpar e desinfetar imediatamente após o uso, conforme protocolo do fabricante e norma sanitária.</w:t>
      </w:r>
    </w:p>
    <w:p>
      <w:pPr>
        <w:pStyle w:val="ListNumber"/>
        <w:spacing w:after="60"/>
        <w:ind w:left="397"/>
        <w:jc w:val="both"/>
      </w:pPr>
      <w:r>
        <w:rPr>
          <w:rFonts w:ascii="Calibri" w:hAnsi="Calibri"/>
          <w:color w:val="1A1A1A"/>
          <w:sz w:val="24"/>
        </w:rPr>
        <w:t>Armazenar em local adequado e protegido, com cabos e acessórios organizados.</w:t>
      </w:r>
    </w:p>
    <w:p>
      <w:pPr>
        <w:pStyle w:val="ListNumber"/>
        <w:spacing w:after="60"/>
        <w:ind w:left="397"/>
        <w:jc w:val="both"/>
      </w:pPr>
      <w:r>
        <w:rPr>
          <w:rFonts w:ascii="Calibri" w:hAnsi="Calibri"/>
          <w:color w:val="1A1A1A"/>
          <w:sz w:val="24"/>
        </w:rPr>
        <w:t>Registrar qualquer comportamento inesperado, ainda que o equipamento volte a funcionar.</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Comportamento fora do esperado, ruído, aquecimento anormal ou falha intermitente.</w:t>
      </w:r>
    </w:p>
    <w:p>
      <w:pPr>
        <w:pStyle w:val="ListBullet"/>
        <w:spacing w:after="60"/>
        <w:ind w:left="397"/>
        <w:jc w:val="both"/>
      </w:pPr>
      <w:r>
        <w:rPr>
          <w:rFonts w:ascii="Calibri" w:hAnsi="Calibri"/>
          <w:color w:val="1A1A1A"/>
          <w:sz w:val="24"/>
        </w:rPr>
        <w:t>Manutenção vencida ou laudo indisponível.</w:t>
      </w:r>
    </w:p>
    <w:p>
      <w:pPr>
        <w:pStyle w:val="ListBullet"/>
        <w:spacing w:after="60"/>
        <w:ind w:left="397"/>
        <w:jc w:val="both"/>
      </w:pPr>
      <w:r>
        <w:rPr>
          <w:rFonts w:ascii="Calibri" w:hAnsi="Calibri"/>
          <w:color w:val="1A1A1A"/>
          <w:sz w:val="24"/>
        </w:rPr>
        <w:t>Acessório fora de especificação ou consumível não previsto pelo fabricante.</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Diante de falha ou de risco potencial, interromper o uso, segregar e identificar o equipamento, preservar evidências e aplicar o POP-N5-T04 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Checagem pré-uso e parâmetros utilizados por sessão.</w:t>
      </w:r>
    </w:p>
    <w:p>
      <w:pPr>
        <w:pStyle w:val="ListBullet"/>
        <w:spacing w:after="60"/>
        <w:ind w:left="397"/>
        <w:jc w:val="both"/>
      </w:pPr>
      <w:r>
        <w:rPr>
          <w:rFonts w:ascii="Calibri" w:hAnsi="Calibri"/>
          <w:color w:val="1A1A1A"/>
          <w:sz w:val="24"/>
        </w:rPr>
        <w:t>Registro de limpeza, desinfecção e conservação.</w:t>
      </w:r>
    </w:p>
    <w:p>
      <w:pPr>
        <w:pStyle w:val="ListBullet"/>
        <w:spacing w:after="60"/>
        <w:ind w:left="397"/>
        <w:jc w:val="both"/>
      </w:pPr>
      <w:r>
        <w:rPr>
          <w:rFonts w:ascii="Calibri" w:hAnsi="Calibri"/>
          <w:color w:val="1A1A1A"/>
          <w:sz w:val="24"/>
        </w:rPr>
        <w:t>Registro de manutenção, calibração e liberações para uso.</w:t>
      </w:r>
    </w:p>
    <w:p>
      <w:pPr>
        <w:pStyle w:val="ListBullet"/>
        <w:spacing w:after="60"/>
        <w:ind w:left="397"/>
        <w:jc w:val="both"/>
      </w:pPr>
      <w:r>
        <w:rPr>
          <w:rFonts w:ascii="Calibri" w:hAnsi="Calibri"/>
          <w:color w:val="1A1A1A"/>
          <w:sz w:val="24"/>
        </w:rPr>
        <w:t>Registro de ocorrências e das providências adotadas.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o plano de manutenção a cada atualização do fabricante, manutenção corretiva relevante, alerta sanitário ou alteração normativa.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fabricante, com data de consulta. RDC Anvisa nº 1.002/2025, nº 509/2021, nº 751/2022 e nº 549/2021. Documento 10 do pacote. POP-N5-T02.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POP-N5-15  Documentação e guarda de exames de imagem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51"/>
        <w:gridCol w:w="5721"/>
      </w:tblGrid>
      <w:tr>
        <w:trPr>
          <w:cantSplit/>
          <w:tblHeader/>
        </w:trPr>
        <w:tc>
          <w:tcPr>
            <w:tcW w:type="dxa" w:w="3351"/>
            <w:shd w:val="clear" w:color="auto" w:fill="143C64"/>
          </w:tcPr>
          <w:p>
            <w:pPr>
              <w:spacing w:after="0"/>
              <w:jc w:val="left"/>
            </w:pPr>
            <w:r/>
            <w:r>
              <w:rPr>
                <w:rFonts w:ascii="Calibri" w:hAnsi="Calibri"/>
                <w:b/>
                <w:color w:val="FFFFFF"/>
                <w:sz w:val="24"/>
              </w:rPr>
              <w:t>Campo</w:t>
            </w:r>
          </w:p>
        </w:tc>
        <w:tc>
          <w:tcPr>
            <w:tcW w:type="dxa" w:w="5721"/>
            <w:shd w:val="clear" w:color="auto" w:fill="143C64"/>
          </w:tcPr>
          <w:p>
            <w:pPr>
              <w:spacing w:after="0"/>
              <w:jc w:val="left"/>
            </w:pPr>
            <w:r/>
            <w:r>
              <w:rPr>
                <w:rFonts w:ascii="Calibri" w:hAnsi="Calibri"/>
                <w:b/>
                <w:color w:val="FFFFFF"/>
                <w:sz w:val="24"/>
              </w:rPr>
              <w:t>Conteúdo</w:t>
            </w:r>
          </w:p>
        </w:tc>
      </w:tr>
      <w:tr>
        <w:trPr>
          <w:cantSplit/>
        </w:trPr>
        <w:tc>
          <w:tcPr>
            <w:tcW w:type="dxa" w:w="3351"/>
          </w:tcPr>
          <w:p>
            <w:pPr>
              <w:spacing w:after="0"/>
              <w:jc w:val="left"/>
            </w:pPr>
            <w:r/>
            <w:r>
              <w:rPr>
                <w:rFonts w:ascii="Calibri" w:hAnsi="Calibri"/>
                <w:b/>
                <w:color w:val="1A1A1A"/>
                <w:sz w:val="24"/>
              </w:rPr>
              <w:t>1. Identificação</w:t>
            </w:r>
          </w:p>
        </w:tc>
        <w:tc>
          <w:tcPr>
            <w:tcW w:type="dxa" w:w="5721"/>
          </w:tcPr>
          <w:p>
            <w:pPr>
              <w:spacing w:after="0"/>
              <w:jc w:val="left"/>
            </w:pPr>
            <w:r/>
            <w:r>
              <w:rPr>
                <w:rFonts w:ascii="Calibri" w:hAnsi="Calibri"/>
                <w:b w:val="0"/>
                <w:color w:val="1A1A1A"/>
                <w:sz w:val="24"/>
              </w:rPr>
              <w:t>Código POP-N5-15. Versão 1.0. Emissão em 26 de agosto de 2026. Próxima revisão em até doze meses. Onda de produção 3. Situação de escopo: Parcial. Emissão de laudo suspensa até definição institucional de escopo. Responsável técnico pela redação: Campo de preenchimento pelo serviço.</w:t>
            </w:r>
          </w:p>
        </w:tc>
      </w:tr>
      <w:tr>
        <w:trPr>
          <w:cantSplit/>
        </w:trPr>
        <w:tc>
          <w:tcPr>
            <w:tcW w:type="dxa" w:w="3351"/>
            <w:shd w:val="clear" w:color="auto" w:fill="F2F5F8"/>
          </w:tcPr>
          <w:p>
            <w:pPr>
              <w:spacing w:after="0"/>
              <w:jc w:val="left"/>
            </w:pPr>
            <w:r/>
            <w:r>
              <w:rPr>
                <w:rFonts w:ascii="Calibri" w:hAnsi="Calibri"/>
                <w:b/>
                <w:color w:val="1A1A1A"/>
                <w:sz w:val="24"/>
              </w:rPr>
              <w:t>2. Objetivo e alcance</w:t>
            </w:r>
          </w:p>
        </w:tc>
        <w:tc>
          <w:tcPr>
            <w:tcW w:type="dxa" w:w="5721"/>
            <w:shd w:val="clear" w:color="auto" w:fill="F2F5F8"/>
          </w:tcPr>
          <w:p>
            <w:pPr>
              <w:spacing w:after="0"/>
              <w:jc w:val="left"/>
            </w:pPr>
            <w:r/>
            <w:r>
              <w:rPr>
                <w:rFonts w:ascii="Calibri" w:hAnsi="Calibri"/>
                <w:b w:val="0"/>
                <w:color w:val="1A1A1A"/>
                <w:sz w:val="24"/>
              </w:rPr>
              <w:t>Padronizar a guarda, a identificação, o controle de acesso e a retenção de exames de imagem obtidos ou recebidos pelo serviço. Este POP trata de documentação e de proteção de dados. A emissão de laudo com descrição de achados e conclusão está fora do seu escopo e permanece suspensa até manifestação institucional, conforme registrado no documento 11.</w:t>
            </w:r>
          </w:p>
        </w:tc>
      </w:tr>
      <w:tr>
        <w:trPr>
          <w:cantSplit/>
        </w:trPr>
        <w:tc>
          <w:tcPr>
            <w:tcW w:type="dxa" w:w="3351"/>
          </w:tcPr>
          <w:p>
            <w:pPr>
              <w:spacing w:after="0"/>
              <w:jc w:val="left"/>
            </w:pPr>
            <w:r/>
            <w:r>
              <w:rPr>
                <w:rFonts w:ascii="Calibri" w:hAnsi="Calibri"/>
                <w:b/>
                <w:color w:val="1A1A1A"/>
                <w:sz w:val="24"/>
              </w:rPr>
              <w:t>3. Situação regulatória</w:t>
            </w:r>
          </w:p>
        </w:tc>
        <w:tc>
          <w:tcPr>
            <w:tcW w:type="dxa" w:w="5721"/>
          </w:tcPr>
          <w:p>
            <w:pPr>
              <w:spacing w:after="0"/>
              <w:jc w:val="left"/>
            </w:pPr>
            <w:r/>
            <w:r>
              <w:rPr>
                <w:rFonts w:ascii="Calibri" w:hAnsi="Calibri"/>
                <w:b w:val="0"/>
                <w:color w:val="1A1A1A"/>
                <w:sz w:val="24"/>
              </w:rPr>
              <w:t>Lei nº 13.709/2018 e Lei nº 15.378/2026 quanto ao tratamento e ao acesso. RDC Anvisa nº 1.002/2025 quanto à documentação do serviço. A competência para produção e interpretação de exame de imagem é matéria sob discussão judicial na data desta versão e não é objeto deste POP.</w:t>
            </w:r>
          </w:p>
        </w:tc>
      </w:tr>
      <w:tr>
        <w:trPr>
          <w:cantSplit/>
        </w:trPr>
        <w:tc>
          <w:tcPr>
            <w:tcW w:type="dxa" w:w="3351"/>
            <w:shd w:val="clear" w:color="auto" w:fill="F2F5F8"/>
          </w:tcPr>
          <w:p>
            <w:pPr>
              <w:spacing w:after="0"/>
              <w:jc w:val="left"/>
            </w:pPr>
            <w:r/>
            <w:r>
              <w:rPr>
                <w:rFonts w:ascii="Calibri" w:hAnsi="Calibri"/>
                <w:b/>
                <w:color w:val="1A1A1A"/>
                <w:sz w:val="24"/>
              </w:rPr>
              <w:t>4. Competência exigida</w:t>
            </w:r>
          </w:p>
        </w:tc>
        <w:tc>
          <w:tcPr>
            <w:tcW w:type="dxa" w:w="5721"/>
            <w:shd w:val="clear" w:color="auto" w:fill="F2F5F8"/>
          </w:tcPr>
          <w:p>
            <w:pPr>
              <w:spacing w:after="0"/>
              <w:jc w:val="left"/>
            </w:pPr>
            <w:r/>
            <w:r>
              <w:rPr>
                <w:rFonts w:ascii="Calibri" w:hAnsi="Calibri"/>
                <w:b w:val="0"/>
                <w:color w:val="1A1A1A"/>
                <w:sz w:val="24"/>
              </w:rPr>
              <w:t>Responsável Técnico pela política de guarda e de acesso. A obtenção de imagem, quando houver, observa a competência profissional definida institucionalmente.</w:t>
            </w:r>
          </w:p>
        </w:tc>
      </w:tr>
      <w:tr>
        <w:trPr>
          <w:cantSplit/>
        </w:trPr>
        <w:tc>
          <w:tcPr>
            <w:tcW w:type="dxa" w:w="3351"/>
          </w:tcPr>
          <w:p>
            <w:pPr>
              <w:spacing w:after="0"/>
              <w:jc w:val="left"/>
            </w:pPr>
            <w:r/>
            <w:r>
              <w:rPr>
                <w:rFonts w:ascii="Calibri" w:hAnsi="Calibri"/>
                <w:b/>
                <w:color w:val="1A1A1A"/>
                <w:sz w:val="24"/>
              </w:rPr>
              <w:t>5. Materiais e equipamentos</w:t>
            </w:r>
          </w:p>
        </w:tc>
        <w:tc>
          <w:tcPr>
            <w:tcW w:type="dxa" w:w="5721"/>
          </w:tcPr>
          <w:p>
            <w:pPr>
              <w:spacing w:after="0"/>
              <w:jc w:val="left"/>
            </w:pPr>
            <w:r/>
            <w:r>
              <w:rPr>
                <w:rFonts w:ascii="Calibri" w:hAnsi="Calibri"/>
                <w:b w:val="0"/>
                <w:color w:val="1A1A1A"/>
                <w:sz w:val="24"/>
              </w:rPr>
              <w:t>Sistema de armazenamento com controle de acesso; política de retenção declarada; termo de consentimento específico; registro de acessos.</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finalidade declarada.</w:t>
      </w:r>
    </w:p>
    <w:p>
      <w:pPr>
        <w:pStyle w:val="ListBullet"/>
        <w:spacing w:after="60"/>
        <w:ind w:left="397"/>
        <w:jc w:val="both"/>
      </w:pPr>
      <w:r>
        <w:rPr>
          <w:rFonts w:ascii="Calibri" w:hAnsi="Calibri"/>
          <w:color w:val="1A1A1A"/>
          <w:sz w:val="24"/>
        </w:rPr>
        <w:t>☐  Identificação inequívoca do paciente associada ao arquivo.</w:t>
      </w:r>
    </w:p>
    <w:p>
      <w:pPr>
        <w:pStyle w:val="ListBullet"/>
        <w:spacing w:after="60"/>
        <w:ind w:left="397"/>
        <w:jc w:val="both"/>
      </w:pPr>
      <w:r>
        <w:rPr>
          <w:rFonts w:ascii="Calibri" w:hAnsi="Calibri"/>
          <w:color w:val="1A1A1A"/>
          <w:sz w:val="24"/>
        </w:rPr>
        <w:t>☐  Controle de acesso ativo e lista de pessoas autorizadas atualizada.</w:t>
      </w:r>
    </w:p>
    <w:p>
      <w:pPr>
        <w:pStyle w:val="ListBullet"/>
        <w:spacing w:after="60"/>
        <w:ind w:left="397"/>
        <w:jc w:val="both"/>
      </w:pPr>
      <w:r>
        <w:rPr>
          <w:rFonts w:ascii="Calibri" w:hAnsi="Calibri"/>
          <w:color w:val="1A1A1A"/>
          <w:sz w:val="24"/>
        </w:rPr>
        <w:t>☐  Política de retenção definida e vigente.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Identificar cada arquivo com paciente, data, região e finalidade.</w:t>
      </w:r>
    </w:p>
    <w:p>
      <w:pPr>
        <w:pStyle w:val="ListNumber"/>
        <w:spacing w:after="60"/>
        <w:ind w:left="397"/>
        <w:jc w:val="both"/>
      </w:pPr>
      <w:r>
        <w:rPr>
          <w:rFonts w:ascii="Calibri" w:hAnsi="Calibri"/>
          <w:color w:val="1A1A1A"/>
          <w:sz w:val="24"/>
        </w:rPr>
        <w:t>Armazenar em repositório institucional, nunca em dispositivo pessoal ou aplicativo de mensagem.</w:t>
      </w:r>
    </w:p>
    <w:p>
      <w:pPr>
        <w:pStyle w:val="ListNumber"/>
        <w:spacing w:after="60"/>
        <w:ind w:left="397"/>
        <w:jc w:val="both"/>
      </w:pPr>
      <w:r>
        <w:rPr>
          <w:rFonts w:ascii="Calibri" w:hAnsi="Calibri"/>
          <w:color w:val="1A1A1A"/>
          <w:sz w:val="24"/>
        </w:rPr>
        <w:t>Registrar a origem do exame quando produzido por terceiro, preservando a identificação do emissor.</w:t>
      </w:r>
    </w:p>
    <w:p>
      <w:pPr>
        <w:pStyle w:val="ListNumber"/>
        <w:spacing w:after="60"/>
        <w:ind w:left="397"/>
        <w:jc w:val="both"/>
      </w:pPr>
      <w:r>
        <w:rPr>
          <w:rFonts w:ascii="Calibri" w:hAnsi="Calibri"/>
          <w:color w:val="1A1A1A"/>
          <w:sz w:val="24"/>
        </w:rPr>
        <w:t>Vincular o exame ao prontuário e à decisão clínica que o motivou.</w:t>
      </w:r>
    </w:p>
    <w:p>
      <w:pPr>
        <w:pStyle w:val="ListNumber"/>
        <w:spacing w:after="60"/>
        <w:ind w:left="397"/>
        <w:jc w:val="both"/>
      </w:pPr>
      <w:r>
        <w:rPr>
          <w:rFonts w:ascii="Calibri" w:hAnsi="Calibri"/>
          <w:color w:val="1A1A1A"/>
          <w:sz w:val="24"/>
        </w:rPr>
        <w:t>Controlar e registrar os acessos.</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Arquivo sem identificação de paciente ou de data.</w:t>
      </w:r>
    </w:p>
    <w:p>
      <w:pPr>
        <w:pStyle w:val="ListBullet"/>
        <w:spacing w:after="60"/>
        <w:ind w:left="397"/>
        <w:jc w:val="both"/>
      </w:pPr>
      <w:r>
        <w:rPr>
          <w:rFonts w:ascii="Calibri" w:hAnsi="Calibri"/>
          <w:color w:val="1A1A1A"/>
          <w:sz w:val="24"/>
        </w:rPr>
        <w:t>Armazenamento fora do repositório institucional.</w:t>
      </w:r>
    </w:p>
    <w:p>
      <w:pPr>
        <w:pStyle w:val="ListBullet"/>
        <w:spacing w:after="60"/>
        <w:ind w:left="397"/>
        <w:jc w:val="both"/>
      </w:pPr>
      <w:r>
        <w:rPr>
          <w:rFonts w:ascii="Calibri" w:hAnsi="Calibri"/>
          <w:color w:val="1A1A1A"/>
          <w:sz w:val="24"/>
        </w:rPr>
        <w:t>Acesso por pessoa não autorizada.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acesso indevido ou de vazamento exige registro imediato, avaliação de comunicação ao titular e às autoridades competentes, e revisão dos controles.</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Identificação, data, região, finalidade e origem do exame.</w:t>
      </w:r>
    </w:p>
    <w:p>
      <w:pPr>
        <w:pStyle w:val="ListBullet"/>
        <w:spacing w:after="60"/>
        <w:ind w:left="397"/>
        <w:jc w:val="both"/>
      </w:pPr>
      <w:r>
        <w:rPr>
          <w:rFonts w:ascii="Calibri" w:hAnsi="Calibri"/>
          <w:color w:val="1A1A1A"/>
          <w:sz w:val="24"/>
        </w:rPr>
        <w:t>Consentimento vinculado.</w:t>
      </w:r>
    </w:p>
    <w:p>
      <w:pPr>
        <w:pStyle w:val="ListBullet"/>
        <w:spacing w:after="60"/>
        <w:ind w:left="397"/>
        <w:jc w:val="both"/>
      </w:pPr>
      <w:r>
        <w:rPr>
          <w:rFonts w:ascii="Calibri" w:hAnsi="Calibri"/>
          <w:color w:val="1A1A1A"/>
          <w:sz w:val="24"/>
        </w:rPr>
        <w:t>Registro de acessos e de eliminação.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 política de retenção e o controle de acesso. Reavaliar o escopo deste POP quando houver manifestação institucional sobre competência.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Lei nº 13.709/2018. Lei nº 15.378/2026. RDC Anvisa nº 1.002/2025. Documentos 08 e 11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POP-N5-16  Uso de software e ferramenta digital de apoio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POP-N5-16. Versão 1.0. Emissão em 26 de agosto de 2026. Próxima revisão em até doze meses. Onda de produção 3.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adoção e o uso de software de planejamento, de simulação ou de apoio à decisão, incluindo ferramentas com inteligência artificial, com foco em governança de dados, limite de uso e informação ao paciente.</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751/2022, quando o software for enquadrado como dispositivo médico. Lei nº 13.709/2018 e Lei nº 15.378/2026 quanto ao tratamento de dados. Código de Ética Odontológica quanto à publicidade e à promessa de resultado.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responsável pela decisão clínica. A ferramenta apoia, não decide, e não transfere responsabilidade.</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Documentação do fornecedor; política de privacidade e de tratamento de dados; contrato ou termo de uso; registro de versão.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Enquadramento regulatório verificado, com registro da consulta e da data.</w:t>
      </w:r>
    </w:p>
    <w:p>
      <w:pPr>
        <w:pStyle w:val="ListBullet"/>
        <w:spacing w:after="60"/>
        <w:ind w:left="397"/>
        <w:jc w:val="both"/>
      </w:pPr>
      <w:r>
        <w:rPr>
          <w:rFonts w:ascii="Calibri" w:hAnsi="Calibri"/>
          <w:color w:val="1A1A1A"/>
          <w:sz w:val="24"/>
        </w:rPr>
        <w:t>☐  Finalidade declarada pelo fornecedor compatível com o uso pretendido.</w:t>
      </w:r>
    </w:p>
    <w:p>
      <w:pPr>
        <w:pStyle w:val="ListBullet"/>
        <w:spacing w:after="60"/>
        <w:ind w:left="397"/>
        <w:jc w:val="both"/>
      </w:pPr>
      <w:r>
        <w:rPr>
          <w:rFonts w:ascii="Calibri" w:hAnsi="Calibri"/>
          <w:color w:val="1A1A1A"/>
          <w:sz w:val="24"/>
        </w:rPr>
        <w:t>☐  Política de dados analisada quanto a finalidade, retenção, subcontratação e localização do armazenamento.</w:t>
      </w:r>
    </w:p>
    <w:p>
      <w:pPr>
        <w:pStyle w:val="ListBullet"/>
        <w:spacing w:after="60"/>
        <w:ind w:left="397"/>
        <w:jc w:val="both"/>
      </w:pPr>
      <w:r>
        <w:rPr>
          <w:rFonts w:ascii="Calibri" w:hAnsi="Calibri"/>
          <w:color w:val="1A1A1A"/>
          <w:sz w:val="24"/>
        </w:rPr>
        <w:t>☐  Versão em uso registrada.</w:t>
      </w:r>
    </w:p>
    <w:p>
      <w:pPr>
        <w:pStyle w:val="ListBullet"/>
        <w:spacing w:after="60"/>
        <w:ind w:left="397"/>
        <w:jc w:val="both"/>
      </w:pPr>
      <w:r>
        <w:rPr>
          <w:rFonts w:ascii="Calibri" w:hAnsi="Calibri"/>
          <w:color w:val="1A1A1A"/>
          <w:sz w:val="24"/>
        </w:rPr>
        <w:t>☐  Consentimento específico quando dados do paciente forem tratados pela ferramenta.</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Utilizar a ferramenta apenas dentro da finalidade declarada pelo fornecedor.</w:t>
      </w:r>
    </w:p>
    <w:p>
      <w:pPr>
        <w:pStyle w:val="ListNumber"/>
        <w:spacing w:after="60"/>
        <w:ind w:left="397"/>
        <w:jc w:val="both"/>
      </w:pPr>
      <w:r>
        <w:rPr>
          <w:rFonts w:ascii="Calibri" w:hAnsi="Calibri"/>
          <w:color w:val="1A1A1A"/>
          <w:sz w:val="24"/>
        </w:rPr>
        <w:t>Informar o paciente quando a ferramenta influenciar a conduta ou quando gerar simulação de resultado.</w:t>
      </w:r>
    </w:p>
    <w:p>
      <w:pPr>
        <w:pStyle w:val="ListNumber"/>
        <w:spacing w:after="60"/>
        <w:ind w:left="397"/>
        <w:jc w:val="both"/>
      </w:pPr>
      <w:r>
        <w:rPr>
          <w:rFonts w:ascii="Calibri" w:hAnsi="Calibri"/>
          <w:color w:val="1A1A1A"/>
          <w:sz w:val="24"/>
        </w:rPr>
        <w:t>Apresentar simulação como aproximação, nunca como promessa de resultado.</w:t>
      </w:r>
    </w:p>
    <w:p>
      <w:pPr>
        <w:pStyle w:val="ListNumber"/>
        <w:spacing w:after="60"/>
        <w:ind w:left="397"/>
        <w:jc w:val="both"/>
      </w:pPr>
      <w:r>
        <w:rPr>
          <w:rFonts w:ascii="Calibri" w:hAnsi="Calibri"/>
          <w:color w:val="1A1A1A"/>
          <w:sz w:val="24"/>
        </w:rPr>
        <w:t>Conferir criticamente toda saída da ferramenta antes de incorporá-la à decisão.</w:t>
      </w:r>
    </w:p>
    <w:p>
      <w:pPr>
        <w:pStyle w:val="ListNumber"/>
        <w:spacing w:after="60"/>
        <w:ind w:left="397"/>
        <w:jc w:val="both"/>
      </w:pPr>
      <w:r>
        <w:rPr>
          <w:rFonts w:ascii="Calibri" w:hAnsi="Calibri"/>
          <w:color w:val="1A1A1A"/>
          <w:sz w:val="24"/>
        </w:rPr>
        <w:t>Registrar em prontuário o uso da ferramenta e a decisão adotada.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Saída incompatível com o exame clínico.</w:t>
      </w:r>
    </w:p>
    <w:p>
      <w:pPr>
        <w:pStyle w:val="ListBullet"/>
        <w:spacing w:after="60"/>
        <w:ind w:left="397"/>
        <w:jc w:val="both"/>
      </w:pPr>
      <w:r>
        <w:rPr>
          <w:rFonts w:ascii="Calibri" w:hAnsi="Calibri"/>
          <w:color w:val="1A1A1A"/>
          <w:sz w:val="24"/>
        </w:rPr>
        <w:t>Alteração de versão ou de política de dados sem comunicação prévia.</w:t>
      </w:r>
    </w:p>
    <w:p>
      <w:pPr>
        <w:pStyle w:val="ListBullet"/>
        <w:spacing w:after="60"/>
        <w:ind w:left="397"/>
        <w:jc w:val="both"/>
      </w:pPr>
      <w:r>
        <w:rPr>
          <w:rFonts w:ascii="Calibri" w:hAnsi="Calibri"/>
          <w:color w:val="1A1A1A"/>
          <w:sz w:val="24"/>
        </w:rPr>
        <w:t>Transferência de dados para fora do ambiente autorizado.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Falha, resultado inconsistente ou incidente de dados exige suspensão do uso, registro, comunicação ao fornecedor e avaliação de notificação conforme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Ferramenta, versão, finalidade e data de uso.</w:t>
      </w:r>
    </w:p>
    <w:p>
      <w:pPr>
        <w:pStyle w:val="ListBullet"/>
        <w:spacing w:after="60"/>
        <w:ind w:left="397"/>
        <w:jc w:val="both"/>
      </w:pPr>
      <w:r>
        <w:rPr>
          <w:rFonts w:ascii="Calibri" w:hAnsi="Calibri"/>
          <w:color w:val="1A1A1A"/>
          <w:sz w:val="24"/>
        </w:rPr>
        <w:t>Consentimento vinculado, quando aplicável.</w:t>
      </w:r>
    </w:p>
    <w:p>
      <w:pPr>
        <w:pStyle w:val="ListBullet"/>
        <w:spacing w:after="60"/>
        <w:ind w:left="397"/>
        <w:jc w:val="both"/>
      </w:pPr>
      <w:r>
        <w:rPr>
          <w:rFonts w:ascii="Calibri" w:hAnsi="Calibri"/>
          <w:color w:val="1A1A1A"/>
          <w:sz w:val="24"/>
        </w:rPr>
        <w:t>Decisão clínica adotada e sua justificativa.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Reavaliar fornecedor, versão, desempenho e política de dados periodicamente, registrando a data. Descontinuar o uso quando a finalidade declarada deixar de corresponder ao uso efetivo.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751/2022. Lei nº 13.709/2018. Lei nº 15.378/2026. Documentos 06, 10 e 11 do pacote. Literatura verificada registrada no documento 12.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POP-N5-17  Notificação de evento adverso e de queixa técnica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65"/>
        <w:gridCol w:w="5607"/>
      </w:tblGrid>
      <w:tr>
        <w:trPr>
          <w:cantSplit/>
          <w:tblHeader/>
        </w:trPr>
        <w:tc>
          <w:tcPr>
            <w:tcW w:type="dxa" w:w="3465"/>
            <w:shd w:val="clear" w:color="auto" w:fill="143C64"/>
          </w:tcPr>
          <w:p>
            <w:pPr>
              <w:spacing w:after="0"/>
              <w:jc w:val="left"/>
            </w:pPr>
            <w:r/>
            <w:r>
              <w:rPr>
                <w:rFonts w:ascii="Calibri" w:hAnsi="Calibri"/>
                <w:b/>
                <w:color w:val="FFFFFF"/>
                <w:sz w:val="24"/>
              </w:rPr>
              <w:t>Campo</w:t>
            </w:r>
          </w:p>
        </w:tc>
        <w:tc>
          <w:tcPr>
            <w:tcW w:type="dxa" w:w="5607"/>
            <w:shd w:val="clear" w:color="auto" w:fill="143C64"/>
          </w:tcPr>
          <w:p>
            <w:pPr>
              <w:spacing w:after="0"/>
              <w:jc w:val="left"/>
            </w:pPr>
            <w:r/>
            <w:r>
              <w:rPr>
                <w:rFonts w:ascii="Calibri" w:hAnsi="Calibri"/>
                <w:b/>
                <w:color w:val="FFFFFF"/>
                <w:sz w:val="24"/>
              </w:rPr>
              <w:t>Conteúdo</w:t>
            </w:r>
          </w:p>
        </w:tc>
      </w:tr>
      <w:tr>
        <w:trPr>
          <w:cantSplit/>
        </w:trPr>
        <w:tc>
          <w:tcPr>
            <w:tcW w:type="dxa" w:w="3465"/>
          </w:tcPr>
          <w:p>
            <w:pPr>
              <w:spacing w:after="0"/>
              <w:jc w:val="left"/>
            </w:pPr>
            <w:r/>
            <w:r>
              <w:rPr>
                <w:rFonts w:ascii="Calibri" w:hAnsi="Calibri"/>
                <w:b/>
                <w:color w:val="1A1A1A"/>
                <w:sz w:val="24"/>
              </w:rPr>
              <w:t>1. Identificação</w:t>
            </w:r>
          </w:p>
        </w:tc>
        <w:tc>
          <w:tcPr>
            <w:tcW w:type="dxa" w:w="5607"/>
          </w:tcPr>
          <w:p>
            <w:pPr>
              <w:spacing w:after="0"/>
              <w:jc w:val="left"/>
            </w:pPr>
            <w:r/>
            <w:r>
              <w:rPr>
                <w:rFonts w:ascii="Calibri" w:hAnsi="Calibri"/>
                <w:b w:val="0"/>
                <w:color w:val="1A1A1A"/>
                <w:sz w:val="24"/>
              </w:rPr>
              <w:t>Código POP-N5-17. Versão 1.0. Emissão em 26 de agosto de 2026. Próxima revisão em até doze meses. Onda de produção 1. Situação de escopo: Livre. Responsável técnico pela redação: Campo de preenchimento pelo serviço.</w:t>
            </w:r>
          </w:p>
        </w:tc>
      </w:tr>
      <w:tr>
        <w:trPr>
          <w:cantSplit/>
        </w:trPr>
        <w:tc>
          <w:tcPr>
            <w:tcW w:type="dxa" w:w="3465"/>
            <w:shd w:val="clear" w:color="auto" w:fill="F2F5F8"/>
          </w:tcPr>
          <w:p>
            <w:pPr>
              <w:spacing w:after="0"/>
              <w:jc w:val="left"/>
            </w:pPr>
            <w:r/>
            <w:r>
              <w:rPr>
                <w:rFonts w:ascii="Calibri" w:hAnsi="Calibri"/>
                <w:b/>
                <w:color w:val="1A1A1A"/>
                <w:sz w:val="24"/>
              </w:rPr>
              <w:t>2. Objetivo e alcance</w:t>
            </w:r>
          </w:p>
        </w:tc>
        <w:tc>
          <w:tcPr>
            <w:tcW w:type="dxa" w:w="5607"/>
            <w:shd w:val="clear" w:color="auto" w:fill="F2F5F8"/>
          </w:tcPr>
          <w:p>
            <w:pPr>
              <w:spacing w:after="0"/>
              <w:jc w:val="left"/>
            </w:pPr>
            <w:r/>
            <w:r>
              <w:rPr>
                <w:rFonts w:ascii="Calibri" w:hAnsi="Calibri"/>
                <w:b w:val="0"/>
                <w:color w:val="1A1A1A"/>
                <w:sz w:val="24"/>
              </w:rPr>
              <w:t>Padronizar a identificação, o registro interno e a avaliação de notificação de eventos adversos e de queixas técnicas relacionados a produtos e equipamentos.</w:t>
            </w:r>
          </w:p>
        </w:tc>
      </w:tr>
      <w:tr>
        <w:trPr>
          <w:cantSplit/>
        </w:trPr>
        <w:tc>
          <w:tcPr>
            <w:tcW w:type="dxa" w:w="3465"/>
          </w:tcPr>
          <w:p>
            <w:pPr>
              <w:spacing w:after="0"/>
              <w:jc w:val="left"/>
            </w:pPr>
            <w:r/>
            <w:r>
              <w:rPr>
                <w:rFonts w:ascii="Calibri" w:hAnsi="Calibri"/>
                <w:b/>
                <w:color w:val="1A1A1A"/>
                <w:sz w:val="24"/>
              </w:rPr>
              <w:t>3. Situação regulatória</w:t>
            </w:r>
          </w:p>
        </w:tc>
        <w:tc>
          <w:tcPr>
            <w:tcW w:type="dxa" w:w="5607"/>
          </w:tcPr>
          <w:p>
            <w:pPr>
              <w:spacing w:after="0"/>
              <w:jc w:val="left"/>
            </w:pPr>
            <w:r/>
            <w:r>
              <w:rPr>
                <w:rFonts w:ascii="Calibri" w:hAnsi="Calibri"/>
                <w:b w:val="0"/>
                <w:color w:val="1A1A1A"/>
                <w:sz w:val="24"/>
              </w:rPr>
              <w:t>RDC Anvisa nº 1.002/2025 e a regulamentação de tecnovigilância e de farmacovigilância aplicável. O serviço deve manter fluxo definido, com responsável designado.</w:t>
            </w:r>
          </w:p>
        </w:tc>
      </w:tr>
      <w:tr>
        <w:trPr>
          <w:cantSplit/>
        </w:trPr>
        <w:tc>
          <w:tcPr>
            <w:tcW w:type="dxa" w:w="3465"/>
            <w:shd w:val="clear" w:color="auto" w:fill="F2F5F8"/>
          </w:tcPr>
          <w:p>
            <w:pPr>
              <w:spacing w:after="0"/>
              <w:jc w:val="left"/>
            </w:pPr>
            <w:r/>
            <w:r>
              <w:rPr>
                <w:rFonts w:ascii="Calibri" w:hAnsi="Calibri"/>
                <w:b/>
                <w:color w:val="1A1A1A"/>
                <w:sz w:val="24"/>
              </w:rPr>
              <w:t>4. Competência exigida</w:t>
            </w:r>
          </w:p>
        </w:tc>
        <w:tc>
          <w:tcPr>
            <w:tcW w:type="dxa" w:w="5607"/>
            <w:shd w:val="clear" w:color="auto" w:fill="F2F5F8"/>
          </w:tcPr>
          <w:p>
            <w:pPr>
              <w:spacing w:after="0"/>
              <w:jc w:val="left"/>
            </w:pPr>
            <w:r/>
            <w:r>
              <w:rPr>
                <w:rFonts w:ascii="Calibri" w:hAnsi="Calibri"/>
                <w:b w:val="0"/>
                <w:color w:val="1A1A1A"/>
                <w:sz w:val="24"/>
              </w:rPr>
              <w:t>Responsável Técnico pela decisão de notificar e pelo fluxo. Todo integrante da equipe pela comunicação interna do evento.</w:t>
            </w:r>
          </w:p>
        </w:tc>
      </w:tr>
      <w:tr>
        <w:trPr>
          <w:cantSplit/>
        </w:trPr>
        <w:tc>
          <w:tcPr>
            <w:tcW w:type="dxa" w:w="3465"/>
          </w:tcPr>
          <w:p>
            <w:pPr>
              <w:spacing w:after="0"/>
              <w:jc w:val="left"/>
            </w:pPr>
            <w:r/>
            <w:r>
              <w:rPr>
                <w:rFonts w:ascii="Calibri" w:hAnsi="Calibri"/>
                <w:b/>
                <w:color w:val="1A1A1A"/>
                <w:sz w:val="24"/>
              </w:rPr>
              <w:t>5. Materiais e equipamentos</w:t>
            </w:r>
          </w:p>
        </w:tc>
        <w:tc>
          <w:tcPr>
            <w:tcW w:type="dxa" w:w="5607"/>
          </w:tcPr>
          <w:p>
            <w:pPr>
              <w:spacing w:after="0"/>
              <w:jc w:val="left"/>
            </w:pPr>
            <w:r/>
            <w:r>
              <w:rPr>
                <w:rFonts w:ascii="Calibri" w:hAnsi="Calibri"/>
                <w:b w:val="0"/>
                <w:color w:val="1A1A1A"/>
                <w:sz w:val="24"/>
              </w:rPr>
              <w:t>Formulário interno de registro de evento; acesso aos sistemas oficiais de notificação; registro de lote e de identificação do equipamento; evidências preservadas.</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Evento comunicado internamente no mesmo dia em que for identificado.</w:t>
      </w:r>
    </w:p>
    <w:p>
      <w:pPr>
        <w:pStyle w:val="ListBullet"/>
        <w:spacing w:after="60"/>
        <w:ind w:left="397"/>
        <w:jc w:val="both"/>
      </w:pPr>
      <w:r>
        <w:rPr>
          <w:rFonts w:ascii="Calibri" w:hAnsi="Calibri"/>
          <w:color w:val="1A1A1A"/>
          <w:sz w:val="24"/>
        </w:rPr>
        <w:t>☐  Rastreabilidade recuperada: produto, lote, validade, equipamento, número de série e parâmetros.</w:t>
      </w:r>
    </w:p>
    <w:p>
      <w:pPr>
        <w:pStyle w:val="ListBullet"/>
        <w:spacing w:after="60"/>
        <w:ind w:left="397"/>
        <w:jc w:val="both"/>
      </w:pPr>
      <w:r>
        <w:rPr>
          <w:rFonts w:ascii="Calibri" w:hAnsi="Calibri"/>
          <w:color w:val="1A1A1A"/>
          <w:sz w:val="24"/>
        </w:rPr>
        <w:t>☐  Evidências preservadas, incluindo embalagem, produto remanescente e o próprio equipamento quando houver suspeita de falha.</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Registrar o evento no formulário interno, com data, horário, descrição objetiva e identificação dos envolvidos.</w:t>
      </w:r>
    </w:p>
    <w:p>
      <w:pPr>
        <w:pStyle w:val="ListNumber"/>
        <w:spacing w:after="60"/>
        <w:ind w:left="397"/>
        <w:jc w:val="both"/>
      </w:pPr>
      <w:r>
        <w:rPr>
          <w:rFonts w:ascii="Calibri" w:hAnsi="Calibri"/>
          <w:color w:val="1A1A1A"/>
          <w:sz w:val="24"/>
        </w:rPr>
        <w:t>Classificar preliminarmente como evento adverso, queixa técnica ou ambos.</w:t>
      </w:r>
    </w:p>
    <w:p>
      <w:pPr>
        <w:pStyle w:val="ListNumber"/>
        <w:spacing w:after="60"/>
        <w:ind w:left="397"/>
        <w:jc w:val="both"/>
      </w:pPr>
      <w:r>
        <w:rPr>
          <w:rFonts w:ascii="Calibri" w:hAnsi="Calibri"/>
          <w:color w:val="1A1A1A"/>
          <w:sz w:val="24"/>
        </w:rPr>
        <w:t>Avaliar a gravidade e a necessidade de notificação aos sistemas oficiais.</w:t>
      </w:r>
    </w:p>
    <w:p>
      <w:pPr>
        <w:pStyle w:val="ListNumber"/>
        <w:spacing w:after="60"/>
        <w:ind w:left="397"/>
        <w:jc w:val="both"/>
      </w:pPr>
      <w:r>
        <w:rPr>
          <w:rFonts w:ascii="Calibri" w:hAnsi="Calibri"/>
          <w:color w:val="1A1A1A"/>
          <w:sz w:val="24"/>
        </w:rPr>
        <w:t>Notificar quando cabível, registrando número de protocolo e data.</w:t>
      </w:r>
    </w:p>
    <w:p>
      <w:pPr>
        <w:pStyle w:val="ListNumber"/>
        <w:spacing w:after="60"/>
        <w:ind w:left="397"/>
        <w:jc w:val="both"/>
      </w:pPr>
      <w:r>
        <w:rPr>
          <w:rFonts w:ascii="Calibri" w:hAnsi="Calibri"/>
          <w:color w:val="1A1A1A"/>
          <w:sz w:val="24"/>
        </w:rPr>
        <w:t>Comunicar o fabricante ou detentor do registro quando pertinente.</w:t>
      </w:r>
    </w:p>
    <w:p>
      <w:pPr>
        <w:pStyle w:val="ListNumber"/>
        <w:spacing w:after="60"/>
        <w:ind w:left="397"/>
        <w:jc w:val="both"/>
      </w:pPr>
      <w:r>
        <w:rPr>
          <w:rFonts w:ascii="Calibri" w:hAnsi="Calibri"/>
          <w:color w:val="1A1A1A"/>
          <w:sz w:val="24"/>
        </w:rPr>
        <w:t>Realizar análise de causa e definir ação corretiva antes de retomar o uso.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Repetição de evento semelhante com o mesmo produto, lote ou equipamento.</w:t>
      </w:r>
    </w:p>
    <w:p>
      <w:pPr>
        <w:pStyle w:val="ListBullet"/>
        <w:spacing w:after="60"/>
        <w:ind w:left="397"/>
        <w:jc w:val="both"/>
      </w:pPr>
      <w:r>
        <w:rPr>
          <w:rFonts w:ascii="Calibri" w:hAnsi="Calibri"/>
          <w:color w:val="1A1A1A"/>
          <w:sz w:val="24"/>
        </w:rPr>
        <w:t>Evento grave, com risco à vida, hospitalização ou sequela.</w:t>
      </w:r>
    </w:p>
    <w:p>
      <w:pPr>
        <w:pStyle w:val="ListBullet"/>
        <w:spacing w:after="60"/>
        <w:ind w:left="397"/>
        <w:jc w:val="both"/>
      </w:pPr>
      <w:r>
        <w:rPr>
          <w:rFonts w:ascii="Calibri" w:hAnsi="Calibri"/>
          <w:color w:val="1A1A1A"/>
          <w:sz w:val="24"/>
        </w:rPr>
        <w:t>Descarte de evidência antes da avaliação.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Enquanto a análise não for concluída, suspender o uso do lote ou do equipamento envolvido. A retomada exige registro da conclusão e da ação corretiva.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Formulário interno completo, com horários.</w:t>
      </w:r>
    </w:p>
    <w:p>
      <w:pPr>
        <w:pStyle w:val="ListBullet"/>
        <w:spacing w:after="60"/>
        <w:ind w:left="397"/>
        <w:jc w:val="both"/>
      </w:pPr>
      <w:r>
        <w:rPr>
          <w:rFonts w:ascii="Calibri" w:hAnsi="Calibri"/>
          <w:color w:val="1A1A1A"/>
          <w:sz w:val="24"/>
        </w:rPr>
        <w:t>Classificação, avaliação de gravidade e decisão sobre notificar.</w:t>
      </w:r>
    </w:p>
    <w:p>
      <w:pPr>
        <w:pStyle w:val="ListBullet"/>
        <w:spacing w:after="60"/>
        <w:ind w:left="397"/>
        <w:jc w:val="both"/>
      </w:pPr>
      <w:r>
        <w:rPr>
          <w:rFonts w:ascii="Calibri" w:hAnsi="Calibri"/>
          <w:color w:val="1A1A1A"/>
          <w:sz w:val="24"/>
        </w:rPr>
        <w:t>Protocolo da notificação, quando realizada.</w:t>
      </w:r>
    </w:p>
    <w:p>
      <w:pPr>
        <w:pStyle w:val="ListBullet"/>
        <w:spacing w:after="60"/>
        <w:ind w:left="397"/>
        <w:jc w:val="both"/>
      </w:pPr>
      <w:r>
        <w:rPr>
          <w:rFonts w:ascii="Calibri" w:hAnsi="Calibri"/>
          <w:color w:val="1A1A1A"/>
          <w:sz w:val="24"/>
        </w:rPr>
        <w:t>Análise de causa e ação corretiva, com responsável e prazo.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Consolidar os eventos em revisão periódica do serviço, identificando padrões. Alimentar o levantamento previsto no documento 04 do pacote, com dados agregados.</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Regulamentação de tecnovigilância aplicável, com data de consulta. Documentos 04, 07 e 10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4  Parte II. Procedimentos transversais de governança tecnológica</w:t>
      </w:r>
    </w:p>
    <w:p>
      <w:pPr>
        <w:keepNext/>
        <w:spacing w:before="360" w:after="160"/>
        <w:jc w:val="left"/>
        <w:pBdr>
          <w:bottom w:val="single" w:sz="8" w:space="4" w:color="143C64"/>
        </w:pBdr>
      </w:pPr>
      <w:r>
        <w:rPr>
          <w:rFonts w:ascii="Calibri" w:hAnsi="Calibri"/>
          <w:b/>
          <w:color w:val="143C64"/>
          <w:sz w:val="30"/>
        </w:rPr>
        <w:t>POP-N5-T01  Verificação regulatória e documental pré-uso de tecnologia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96"/>
        <w:gridCol w:w="7876"/>
      </w:tblGrid>
      <w:tr>
        <w:trPr>
          <w:cantSplit/>
          <w:tblHeader/>
        </w:trPr>
        <w:tc>
          <w:tcPr>
            <w:tcW w:type="dxa" w:w="1196"/>
            <w:shd w:val="clear" w:color="auto" w:fill="143C64"/>
          </w:tcPr>
          <w:p>
            <w:pPr>
              <w:spacing w:after="0"/>
              <w:jc w:val="left"/>
            </w:pPr>
            <w:r/>
            <w:r>
              <w:rPr>
                <w:rFonts w:ascii="Calibri" w:hAnsi="Calibri"/>
                <w:b/>
                <w:color w:val="FFFFFF"/>
                <w:sz w:val="24"/>
              </w:rPr>
              <w:t>Nº</w:t>
            </w:r>
          </w:p>
        </w:tc>
        <w:tc>
          <w:tcPr>
            <w:tcW w:type="dxa" w:w="7876"/>
            <w:shd w:val="clear" w:color="auto" w:fill="143C64"/>
          </w:tcPr>
          <w:p>
            <w:pPr>
              <w:spacing w:after="0"/>
              <w:jc w:val="left"/>
            </w:pPr>
            <w:r/>
            <w:r>
              <w:rPr>
                <w:rFonts w:ascii="Calibri" w:hAnsi="Calibri"/>
                <w:b/>
                <w:color w:val="FFFFFF"/>
                <w:sz w:val="24"/>
              </w:rPr>
              <w:t>Passo operacional</w:t>
            </w:r>
          </w:p>
        </w:tc>
      </w:tr>
      <w:tr>
        <w:trPr>
          <w:cantSplit/>
        </w:trPr>
        <w:tc>
          <w:tcPr>
            <w:tcW w:type="dxa" w:w="1196"/>
          </w:tcPr>
          <w:p>
            <w:pPr>
              <w:spacing w:after="0"/>
              <w:jc w:val="left"/>
            </w:pPr>
            <w:r/>
            <w:r>
              <w:rPr>
                <w:rFonts w:ascii="Calibri" w:hAnsi="Calibri"/>
                <w:b w:val="0"/>
                <w:color w:val="1A1A1A"/>
                <w:sz w:val="24"/>
              </w:rPr>
              <w:t>1</w:t>
            </w:r>
          </w:p>
        </w:tc>
        <w:tc>
          <w:tcPr>
            <w:tcW w:type="dxa" w:w="7876"/>
          </w:tcPr>
          <w:p>
            <w:pPr>
              <w:spacing w:after="0"/>
              <w:jc w:val="left"/>
            </w:pPr>
            <w:r/>
            <w:r>
              <w:rPr>
                <w:rFonts w:ascii="Calibri" w:hAnsi="Calibri"/>
                <w:b w:val="0"/>
                <w:color w:val="1A1A1A"/>
                <w:sz w:val="24"/>
              </w:rPr>
              <w:t>Confirmar identificação inequívoca do equipamento ou dispositivo e a finalidade pretendida.</w:t>
            </w:r>
          </w:p>
        </w:tc>
      </w:tr>
      <w:tr>
        <w:trPr>
          <w:cantSplit/>
        </w:trPr>
        <w:tc>
          <w:tcPr>
            <w:tcW w:type="dxa" w:w="1196"/>
            <w:shd w:val="clear" w:color="auto" w:fill="F2F5F8"/>
          </w:tcPr>
          <w:p>
            <w:pPr>
              <w:spacing w:after="0"/>
              <w:jc w:val="left"/>
            </w:pPr>
            <w:r/>
            <w:r>
              <w:rPr>
                <w:rFonts w:ascii="Calibri" w:hAnsi="Calibri"/>
                <w:b w:val="0"/>
                <w:color w:val="1A1A1A"/>
                <w:sz w:val="24"/>
              </w:rPr>
              <w:t>2</w:t>
            </w:r>
          </w:p>
        </w:tc>
        <w:tc>
          <w:tcPr>
            <w:tcW w:type="dxa" w:w="7876"/>
            <w:shd w:val="clear" w:color="auto" w:fill="F2F5F8"/>
          </w:tcPr>
          <w:p>
            <w:pPr>
              <w:spacing w:after="0"/>
              <w:jc w:val="left"/>
            </w:pPr>
            <w:r/>
            <w:r>
              <w:rPr>
                <w:rFonts w:ascii="Calibri" w:hAnsi="Calibri"/>
                <w:b w:val="0"/>
                <w:color w:val="1A1A1A"/>
                <w:sz w:val="24"/>
              </w:rPr>
              <w:t>Consultar a situação de regularização na Anvisa quando aplicável, registrando número, titular e data da consulta.</w:t>
            </w:r>
          </w:p>
        </w:tc>
      </w:tr>
      <w:tr>
        <w:trPr>
          <w:cantSplit/>
        </w:trPr>
        <w:tc>
          <w:tcPr>
            <w:tcW w:type="dxa" w:w="1196"/>
          </w:tcPr>
          <w:p>
            <w:pPr>
              <w:spacing w:after="0"/>
              <w:jc w:val="left"/>
            </w:pPr>
            <w:r/>
            <w:r>
              <w:rPr>
                <w:rFonts w:ascii="Calibri" w:hAnsi="Calibri"/>
                <w:b w:val="0"/>
                <w:color w:val="1A1A1A"/>
                <w:sz w:val="24"/>
              </w:rPr>
              <w:t>3</w:t>
            </w:r>
          </w:p>
        </w:tc>
        <w:tc>
          <w:tcPr>
            <w:tcW w:type="dxa" w:w="7876"/>
          </w:tcPr>
          <w:p>
            <w:pPr>
              <w:spacing w:after="0"/>
              <w:jc w:val="left"/>
            </w:pPr>
            <w:r/>
            <w:r>
              <w:rPr>
                <w:rFonts w:ascii="Calibri" w:hAnsi="Calibri"/>
                <w:b w:val="0"/>
                <w:color w:val="1A1A1A"/>
                <w:sz w:val="24"/>
              </w:rPr>
              <w:t>Conferir instruções de uso, profissional habilitado, contraindicações, acessórios obrigatórios e condições de operação.</w:t>
            </w:r>
          </w:p>
        </w:tc>
      </w:tr>
      <w:tr>
        <w:trPr>
          <w:cantSplit/>
        </w:trPr>
        <w:tc>
          <w:tcPr>
            <w:tcW w:type="dxa" w:w="1196"/>
            <w:shd w:val="clear" w:color="auto" w:fill="F2F5F8"/>
          </w:tcPr>
          <w:p>
            <w:pPr>
              <w:spacing w:after="0"/>
              <w:jc w:val="left"/>
            </w:pPr>
            <w:r/>
            <w:r>
              <w:rPr>
                <w:rFonts w:ascii="Calibri" w:hAnsi="Calibri"/>
                <w:b w:val="0"/>
                <w:color w:val="1A1A1A"/>
                <w:sz w:val="24"/>
              </w:rPr>
              <w:t>4</w:t>
            </w:r>
          </w:p>
        </w:tc>
        <w:tc>
          <w:tcPr>
            <w:tcW w:type="dxa" w:w="7876"/>
            <w:shd w:val="clear" w:color="auto" w:fill="F2F5F8"/>
          </w:tcPr>
          <w:p>
            <w:pPr>
              <w:spacing w:after="0"/>
              <w:jc w:val="left"/>
            </w:pPr>
            <w:r/>
            <w:r>
              <w:rPr>
                <w:rFonts w:ascii="Calibri" w:hAnsi="Calibri"/>
                <w:b w:val="0"/>
                <w:color w:val="1A1A1A"/>
                <w:sz w:val="24"/>
              </w:rPr>
              <w:t>Verificar integridade física, limpeza, disponibilidade de acessórios e condições ambientais previstas pelo fabricante.</w:t>
            </w:r>
          </w:p>
        </w:tc>
      </w:tr>
      <w:tr>
        <w:trPr>
          <w:cantSplit/>
        </w:trPr>
        <w:tc>
          <w:tcPr>
            <w:tcW w:type="dxa" w:w="1196"/>
          </w:tcPr>
          <w:p>
            <w:pPr>
              <w:spacing w:after="0"/>
              <w:jc w:val="left"/>
            </w:pPr>
            <w:r/>
            <w:r>
              <w:rPr>
                <w:rFonts w:ascii="Calibri" w:hAnsi="Calibri"/>
                <w:b w:val="0"/>
                <w:color w:val="1A1A1A"/>
                <w:sz w:val="24"/>
              </w:rPr>
              <w:t>5</w:t>
            </w:r>
          </w:p>
        </w:tc>
        <w:tc>
          <w:tcPr>
            <w:tcW w:type="dxa" w:w="7876"/>
          </w:tcPr>
          <w:p>
            <w:pPr>
              <w:spacing w:after="0"/>
              <w:jc w:val="left"/>
            </w:pPr>
            <w:r/>
            <w:r>
              <w:rPr>
                <w:rFonts w:ascii="Calibri" w:hAnsi="Calibri"/>
                <w:b w:val="0"/>
                <w:color w:val="1A1A1A"/>
                <w:sz w:val="24"/>
              </w:rPr>
              <w:t>Registrar no prontuário a tecnologia utilizada quando sua identificação for relevante para a rastreabilidade.</w:t>
            </w:r>
          </w:p>
        </w:tc>
      </w:tr>
      <w:tr>
        <w:trPr>
          <w:cantSplit/>
        </w:trPr>
        <w:tc>
          <w:tcPr>
            <w:tcW w:type="dxa" w:w="1196"/>
            <w:shd w:val="clear" w:color="auto" w:fill="F2F5F8"/>
          </w:tcPr>
          <w:p>
            <w:pPr>
              <w:spacing w:after="0"/>
              <w:jc w:val="left"/>
            </w:pPr>
            <w:r/>
            <w:r>
              <w:rPr>
                <w:rFonts w:ascii="Calibri" w:hAnsi="Calibri"/>
                <w:b w:val="0"/>
                <w:color w:val="1A1A1A"/>
                <w:sz w:val="24"/>
              </w:rPr>
              <w:t>6</w:t>
            </w:r>
          </w:p>
        </w:tc>
        <w:tc>
          <w:tcPr>
            <w:tcW w:type="dxa" w:w="7876"/>
            <w:shd w:val="clear" w:color="auto" w:fill="F2F5F8"/>
          </w:tcPr>
          <w:p>
            <w:pPr>
              <w:spacing w:after="0"/>
              <w:jc w:val="left"/>
            </w:pPr>
            <w:r/>
            <w:r>
              <w:rPr>
                <w:rFonts w:ascii="Calibri" w:hAnsi="Calibri"/>
                <w:b w:val="0"/>
                <w:color w:val="1A1A1A"/>
                <w:sz w:val="24"/>
              </w:rPr>
              <w:t>Impedir o uso diante de divergência documental, avaria, alerta de segurança, ausência de treinamento necessário ou condição fora da especificação.</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POP-N5-T02  Manutenção, calibração, ajuste e controle de desempenho</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96"/>
        <w:gridCol w:w="7876"/>
      </w:tblGrid>
      <w:tr>
        <w:trPr>
          <w:cantSplit/>
          <w:tblHeader/>
        </w:trPr>
        <w:tc>
          <w:tcPr>
            <w:tcW w:type="dxa" w:w="1196"/>
            <w:shd w:val="clear" w:color="auto" w:fill="143C64"/>
          </w:tcPr>
          <w:p>
            <w:pPr>
              <w:spacing w:after="0"/>
              <w:jc w:val="left"/>
            </w:pPr>
            <w:r/>
            <w:r>
              <w:rPr>
                <w:rFonts w:ascii="Calibri" w:hAnsi="Calibri"/>
                <w:b/>
                <w:color w:val="FFFFFF"/>
                <w:sz w:val="24"/>
              </w:rPr>
              <w:t>Nº</w:t>
            </w:r>
          </w:p>
        </w:tc>
        <w:tc>
          <w:tcPr>
            <w:tcW w:type="dxa" w:w="7876"/>
            <w:shd w:val="clear" w:color="auto" w:fill="143C64"/>
          </w:tcPr>
          <w:p>
            <w:pPr>
              <w:spacing w:after="0"/>
              <w:jc w:val="left"/>
            </w:pPr>
            <w:r/>
            <w:r>
              <w:rPr>
                <w:rFonts w:ascii="Calibri" w:hAnsi="Calibri"/>
                <w:b/>
                <w:color w:val="FFFFFF"/>
                <w:sz w:val="24"/>
              </w:rPr>
              <w:t>Passo operacional</w:t>
            </w:r>
          </w:p>
        </w:tc>
      </w:tr>
      <w:tr>
        <w:trPr>
          <w:cantSplit/>
        </w:trPr>
        <w:tc>
          <w:tcPr>
            <w:tcW w:type="dxa" w:w="1196"/>
          </w:tcPr>
          <w:p>
            <w:pPr>
              <w:spacing w:after="0"/>
              <w:jc w:val="left"/>
            </w:pPr>
            <w:r/>
            <w:r>
              <w:rPr>
                <w:rFonts w:ascii="Calibri" w:hAnsi="Calibri"/>
                <w:b w:val="0"/>
                <w:color w:val="1A1A1A"/>
                <w:sz w:val="24"/>
              </w:rPr>
              <w:t>1</w:t>
            </w:r>
          </w:p>
        </w:tc>
        <w:tc>
          <w:tcPr>
            <w:tcW w:type="dxa" w:w="7876"/>
          </w:tcPr>
          <w:p>
            <w:pPr>
              <w:spacing w:after="0"/>
              <w:jc w:val="left"/>
            </w:pPr>
            <w:r/>
            <w:r>
              <w:rPr>
                <w:rFonts w:ascii="Calibri" w:hAnsi="Calibri"/>
                <w:b w:val="0"/>
                <w:color w:val="1A1A1A"/>
                <w:sz w:val="24"/>
              </w:rPr>
              <w:t>Manter inventário de equipamentos com identificação, localização, fabricante, modelo, número de série e situação regulatória.</w:t>
            </w:r>
          </w:p>
        </w:tc>
      </w:tr>
      <w:tr>
        <w:trPr>
          <w:cantSplit/>
        </w:trPr>
        <w:tc>
          <w:tcPr>
            <w:tcW w:type="dxa" w:w="1196"/>
            <w:shd w:val="clear" w:color="auto" w:fill="F2F5F8"/>
          </w:tcPr>
          <w:p>
            <w:pPr>
              <w:spacing w:after="0"/>
              <w:jc w:val="left"/>
            </w:pPr>
            <w:r/>
            <w:r>
              <w:rPr>
                <w:rFonts w:ascii="Calibri" w:hAnsi="Calibri"/>
                <w:b w:val="0"/>
                <w:color w:val="1A1A1A"/>
                <w:sz w:val="24"/>
              </w:rPr>
              <w:t>2</w:t>
            </w:r>
          </w:p>
        </w:tc>
        <w:tc>
          <w:tcPr>
            <w:tcW w:type="dxa" w:w="7876"/>
            <w:shd w:val="clear" w:color="auto" w:fill="F2F5F8"/>
          </w:tcPr>
          <w:p>
            <w:pPr>
              <w:spacing w:after="0"/>
              <w:jc w:val="left"/>
            </w:pPr>
            <w:r/>
            <w:r>
              <w:rPr>
                <w:rFonts w:ascii="Calibri" w:hAnsi="Calibri"/>
                <w:b w:val="0"/>
                <w:color w:val="1A1A1A"/>
                <w:sz w:val="24"/>
              </w:rPr>
              <w:t>Definir cronograma de assistência técnica, manutenção preventiva, calibração, ajuste, ensaios e testes conforme legislação aplicável e instruções do fabricante.</w:t>
            </w:r>
          </w:p>
        </w:tc>
      </w:tr>
      <w:tr>
        <w:trPr>
          <w:cantSplit/>
        </w:trPr>
        <w:tc>
          <w:tcPr>
            <w:tcW w:type="dxa" w:w="1196"/>
          </w:tcPr>
          <w:p>
            <w:pPr>
              <w:spacing w:after="0"/>
              <w:jc w:val="left"/>
            </w:pPr>
            <w:r/>
            <w:r>
              <w:rPr>
                <w:rFonts w:ascii="Calibri" w:hAnsi="Calibri"/>
                <w:b w:val="0"/>
                <w:color w:val="1A1A1A"/>
                <w:sz w:val="24"/>
              </w:rPr>
              <w:t>3</w:t>
            </w:r>
          </w:p>
        </w:tc>
        <w:tc>
          <w:tcPr>
            <w:tcW w:type="dxa" w:w="7876"/>
          </w:tcPr>
          <w:p>
            <w:pPr>
              <w:spacing w:after="0"/>
              <w:jc w:val="left"/>
            </w:pPr>
            <w:r/>
            <w:r>
              <w:rPr>
                <w:rFonts w:ascii="Calibri" w:hAnsi="Calibri"/>
                <w:b w:val="0"/>
                <w:color w:val="1A1A1A"/>
                <w:sz w:val="24"/>
              </w:rPr>
              <w:t>Registrar cada intervenção com identificação do serviço, do equipamento, detalhamento e assinatura do responsável pela execução.</w:t>
            </w:r>
          </w:p>
        </w:tc>
      </w:tr>
      <w:tr>
        <w:trPr>
          <w:cantSplit/>
        </w:trPr>
        <w:tc>
          <w:tcPr>
            <w:tcW w:type="dxa" w:w="1196"/>
            <w:shd w:val="clear" w:color="auto" w:fill="F2F5F8"/>
          </w:tcPr>
          <w:p>
            <w:pPr>
              <w:spacing w:after="0"/>
              <w:jc w:val="left"/>
            </w:pPr>
            <w:r/>
            <w:r>
              <w:rPr>
                <w:rFonts w:ascii="Calibri" w:hAnsi="Calibri"/>
                <w:b w:val="0"/>
                <w:color w:val="1A1A1A"/>
                <w:sz w:val="24"/>
              </w:rPr>
              <w:t>4</w:t>
            </w:r>
          </w:p>
        </w:tc>
        <w:tc>
          <w:tcPr>
            <w:tcW w:type="dxa" w:w="7876"/>
            <w:shd w:val="clear" w:color="auto" w:fill="F2F5F8"/>
          </w:tcPr>
          <w:p>
            <w:pPr>
              <w:spacing w:after="0"/>
              <w:jc w:val="left"/>
            </w:pPr>
            <w:r/>
            <w:r>
              <w:rPr>
                <w:rFonts w:ascii="Calibri" w:hAnsi="Calibri"/>
                <w:b w:val="0"/>
                <w:color w:val="1A1A1A"/>
                <w:sz w:val="24"/>
              </w:rPr>
              <w:t>Retirar de uso equipamento avariado, deteriorado, oxidado ou fora das especificações do fabricante.</w:t>
            </w:r>
          </w:p>
        </w:tc>
      </w:tr>
      <w:tr>
        <w:trPr>
          <w:cantSplit/>
        </w:trPr>
        <w:tc>
          <w:tcPr>
            <w:tcW w:type="dxa" w:w="1196"/>
          </w:tcPr>
          <w:p>
            <w:pPr>
              <w:spacing w:after="0"/>
              <w:jc w:val="left"/>
            </w:pPr>
            <w:r/>
            <w:r>
              <w:rPr>
                <w:rFonts w:ascii="Calibri" w:hAnsi="Calibri"/>
                <w:b w:val="0"/>
                <w:color w:val="1A1A1A"/>
                <w:sz w:val="24"/>
              </w:rPr>
              <w:t>5</w:t>
            </w:r>
          </w:p>
        </w:tc>
        <w:tc>
          <w:tcPr>
            <w:tcW w:type="dxa" w:w="7876"/>
          </w:tcPr>
          <w:p>
            <w:pPr>
              <w:spacing w:after="0"/>
              <w:jc w:val="left"/>
            </w:pPr>
            <w:r/>
            <w:r>
              <w:rPr>
                <w:rFonts w:ascii="Calibri" w:hAnsi="Calibri"/>
                <w:b w:val="0"/>
                <w:color w:val="1A1A1A"/>
                <w:sz w:val="24"/>
              </w:rPr>
              <w:t>Arquivar certificados, laudos e relatórios pelo período definido na política documental do serviço e disponibilizá-los à autoridade sanitária quando exigido.</w:t>
            </w:r>
          </w:p>
        </w:tc>
      </w:tr>
      <w:tr>
        <w:trPr>
          <w:cantSplit/>
        </w:trPr>
        <w:tc>
          <w:tcPr>
            <w:tcW w:type="dxa" w:w="1196"/>
            <w:shd w:val="clear" w:color="auto" w:fill="F2F5F8"/>
          </w:tcPr>
          <w:p>
            <w:pPr>
              <w:spacing w:after="0"/>
              <w:jc w:val="left"/>
            </w:pPr>
            <w:r/>
            <w:r>
              <w:rPr>
                <w:rFonts w:ascii="Calibri" w:hAnsi="Calibri"/>
                <w:b w:val="0"/>
                <w:color w:val="1A1A1A"/>
                <w:sz w:val="24"/>
              </w:rPr>
              <w:t>6</w:t>
            </w:r>
          </w:p>
        </w:tc>
        <w:tc>
          <w:tcPr>
            <w:tcW w:type="dxa" w:w="7876"/>
            <w:shd w:val="clear" w:color="auto" w:fill="F2F5F8"/>
          </w:tcPr>
          <w:p>
            <w:pPr>
              <w:spacing w:after="0"/>
              <w:jc w:val="left"/>
            </w:pPr>
            <w:r/>
            <w:r>
              <w:rPr>
                <w:rFonts w:ascii="Calibri" w:hAnsi="Calibri"/>
                <w:b w:val="0"/>
                <w:color w:val="1A1A1A"/>
                <w:sz w:val="24"/>
              </w:rPr>
              <w:t>Reavaliar o cronograma diante de atualização do fabricante, manutenção corretiva relevante, alerta de segurança ou alteração normativa.</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POP-N5-T03  Rastreabilidade da sessão e documentação clínica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74"/>
        <w:gridCol w:w="7898"/>
      </w:tblGrid>
      <w:tr>
        <w:trPr>
          <w:cantSplit/>
          <w:tblHeader/>
        </w:trPr>
        <w:tc>
          <w:tcPr>
            <w:tcW w:type="dxa" w:w="1174"/>
            <w:shd w:val="clear" w:color="auto" w:fill="143C64"/>
          </w:tcPr>
          <w:p>
            <w:pPr>
              <w:spacing w:after="0"/>
              <w:jc w:val="left"/>
            </w:pPr>
            <w:r/>
            <w:r>
              <w:rPr>
                <w:rFonts w:ascii="Calibri" w:hAnsi="Calibri"/>
                <w:b/>
                <w:color w:val="FFFFFF"/>
                <w:sz w:val="24"/>
              </w:rPr>
              <w:t>Nº</w:t>
            </w:r>
          </w:p>
        </w:tc>
        <w:tc>
          <w:tcPr>
            <w:tcW w:type="dxa" w:w="7898"/>
            <w:shd w:val="clear" w:color="auto" w:fill="143C64"/>
          </w:tcPr>
          <w:p>
            <w:pPr>
              <w:spacing w:after="0"/>
              <w:jc w:val="left"/>
            </w:pPr>
            <w:r/>
            <w:r>
              <w:rPr>
                <w:rFonts w:ascii="Calibri" w:hAnsi="Calibri"/>
                <w:b/>
                <w:color w:val="FFFFFF"/>
                <w:sz w:val="24"/>
              </w:rPr>
              <w:t>Passo operacional</w:t>
            </w:r>
          </w:p>
        </w:tc>
      </w:tr>
      <w:tr>
        <w:trPr>
          <w:cantSplit/>
        </w:trPr>
        <w:tc>
          <w:tcPr>
            <w:tcW w:type="dxa" w:w="1174"/>
          </w:tcPr>
          <w:p>
            <w:pPr>
              <w:spacing w:after="0"/>
              <w:jc w:val="left"/>
            </w:pPr>
            <w:r/>
            <w:r>
              <w:rPr>
                <w:rFonts w:ascii="Calibri" w:hAnsi="Calibri"/>
                <w:b w:val="0"/>
                <w:color w:val="1A1A1A"/>
                <w:sz w:val="24"/>
              </w:rPr>
              <w:t>1</w:t>
            </w:r>
          </w:p>
        </w:tc>
        <w:tc>
          <w:tcPr>
            <w:tcW w:type="dxa" w:w="7898"/>
          </w:tcPr>
          <w:p>
            <w:pPr>
              <w:spacing w:after="0"/>
              <w:jc w:val="left"/>
            </w:pPr>
            <w:r/>
            <w:r>
              <w:rPr>
                <w:rFonts w:ascii="Calibri" w:hAnsi="Calibri"/>
                <w:b w:val="0"/>
                <w:color w:val="1A1A1A"/>
                <w:sz w:val="24"/>
              </w:rPr>
              <w:t>Registrar indicação, avaliação clínica, consentimento e tecnologia empregada.</w:t>
            </w:r>
          </w:p>
        </w:tc>
      </w:tr>
      <w:tr>
        <w:trPr>
          <w:cantSplit/>
        </w:trPr>
        <w:tc>
          <w:tcPr>
            <w:tcW w:type="dxa" w:w="1174"/>
            <w:shd w:val="clear" w:color="auto" w:fill="F2F5F8"/>
          </w:tcPr>
          <w:p>
            <w:pPr>
              <w:spacing w:after="0"/>
              <w:jc w:val="left"/>
            </w:pPr>
            <w:r/>
            <w:r>
              <w:rPr>
                <w:rFonts w:ascii="Calibri" w:hAnsi="Calibri"/>
                <w:b w:val="0"/>
                <w:color w:val="1A1A1A"/>
                <w:sz w:val="24"/>
              </w:rPr>
              <w:t>2</w:t>
            </w:r>
          </w:p>
        </w:tc>
        <w:tc>
          <w:tcPr>
            <w:tcW w:type="dxa" w:w="7898"/>
            <w:shd w:val="clear" w:color="auto" w:fill="F2F5F8"/>
          </w:tcPr>
          <w:p>
            <w:pPr>
              <w:spacing w:after="0"/>
              <w:jc w:val="left"/>
            </w:pPr>
            <w:r/>
            <w:r>
              <w:rPr>
                <w:rFonts w:ascii="Calibri" w:hAnsi="Calibri"/>
                <w:b w:val="0"/>
                <w:color w:val="1A1A1A"/>
                <w:sz w:val="24"/>
              </w:rPr>
              <w:t>Registrar, quando aplicável, fabricante e modelo, número de série ou identificador, consumíveis, lote, validade e parâmetros efetivamente utilizados.</w:t>
            </w:r>
          </w:p>
        </w:tc>
      </w:tr>
      <w:tr>
        <w:trPr>
          <w:cantSplit/>
        </w:trPr>
        <w:tc>
          <w:tcPr>
            <w:tcW w:type="dxa" w:w="1174"/>
          </w:tcPr>
          <w:p>
            <w:pPr>
              <w:spacing w:after="0"/>
              <w:jc w:val="left"/>
            </w:pPr>
            <w:r/>
            <w:r>
              <w:rPr>
                <w:rFonts w:ascii="Calibri" w:hAnsi="Calibri"/>
                <w:b w:val="0"/>
                <w:color w:val="1A1A1A"/>
                <w:sz w:val="24"/>
              </w:rPr>
              <w:t>3</w:t>
            </w:r>
          </w:p>
        </w:tc>
        <w:tc>
          <w:tcPr>
            <w:tcW w:type="dxa" w:w="7898"/>
          </w:tcPr>
          <w:p>
            <w:pPr>
              <w:spacing w:after="0"/>
              <w:jc w:val="left"/>
            </w:pPr>
            <w:r/>
            <w:r>
              <w:rPr>
                <w:rFonts w:ascii="Calibri" w:hAnsi="Calibri"/>
                <w:b w:val="0"/>
                <w:color w:val="1A1A1A"/>
                <w:sz w:val="24"/>
              </w:rPr>
              <w:t>Registrar profissional executor, data, horário, área tratada, intercorrências e medidas adotadas.</w:t>
            </w:r>
          </w:p>
        </w:tc>
      </w:tr>
      <w:tr>
        <w:trPr>
          <w:cantSplit/>
        </w:trPr>
        <w:tc>
          <w:tcPr>
            <w:tcW w:type="dxa" w:w="1174"/>
            <w:shd w:val="clear" w:color="auto" w:fill="F2F5F8"/>
          </w:tcPr>
          <w:p>
            <w:pPr>
              <w:spacing w:after="0"/>
              <w:jc w:val="left"/>
            </w:pPr>
            <w:r/>
            <w:r>
              <w:rPr>
                <w:rFonts w:ascii="Calibri" w:hAnsi="Calibri"/>
                <w:b w:val="0"/>
                <w:color w:val="1A1A1A"/>
                <w:sz w:val="24"/>
              </w:rPr>
              <w:t>4</w:t>
            </w:r>
          </w:p>
        </w:tc>
        <w:tc>
          <w:tcPr>
            <w:tcW w:type="dxa" w:w="7898"/>
            <w:shd w:val="clear" w:color="auto" w:fill="F2F5F8"/>
          </w:tcPr>
          <w:p>
            <w:pPr>
              <w:spacing w:after="0"/>
              <w:jc w:val="left"/>
            </w:pPr>
            <w:r/>
            <w:r>
              <w:rPr>
                <w:rFonts w:ascii="Calibri" w:hAnsi="Calibri"/>
                <w:b w:val="0"/>
                <w:color w:val="1A1A1A"/>
                <w:sz w:val="24"/>
              </w:rPr>
              <w:t>Preservar imagens clínicas e dados de saúde sob regras de confidencialidade, finalidade e controle de acesso compatíveis com a Lei nº 13.709/2018 e com a Lei nº 15.378/2026.</w:t>
            </w:r>
          </w:p>
        </w:tc>
      </w:tr>
      <w:tr>
        <w:trPr>
          <w:cantSplit/>
        </w:trPr>
        <w:tc>
          <w:tcPr>
            <w:tcW w:type="dxa" w:w="1174"/>
          </w:tcPr>
          <w:p>
            <w:pPr>
              <w:spacing w:after="0"/>
              <w:jc w:val="left"/>
            </w:pPr>
            <w:r/>
            <w:r>
              <w:rPr>
                <w:rFonts w:ascii="Calibri" w:hAnsi="Calibri"/>
                <w:b w:val="0"/>
                <w:color w:val="1A1A1A"/>
                <w:sz w:val="24"/>
              </w:rPr>
              <w:t>5</w:t>
            </w:r>
          </w:p>
        </w:tc>
        <w:tc>
          <w:tcPr>
            <w:tcW w:type="dxa" w:w="7898"/>
          </w:tcPr>
          <w:p>
            <w:pPr>
              <w:spacing w:after="0"/>
              <w:jc w:val="left"/>
            </w:pPr>
            <w:r/>
            <w:r>
              <w:rPr>
                <w:rFonts w:ascii="Calibri" w:hAnsi="Calibri"/>
                <w:b w:val="0"/>
                <w:color w:val="1A1A1A"/>
                <w:sz w:val="24"/>
              </w:rPr>
              <w:t>Não substituir o prontuário por fotografia, aplicativo, mensagem instantânea ou registro comercial do equipamento.</w:t>
            </w:r>
          </w:p>
        </w:tc>
      </w:tr>
      <w:tr>
        <w:trPr>
          <w:cantSplit/>
        </w:trPr>
        <w:tc>
          <w:tcPr>
            <w:tcW w:type="dxa" w:w="1174"/>
            <w:shd w:val="clear" w:color="auto" w:fill="F2F5F8"/>
          </w:tcPr>
          <w:p>
            <w:pPr>
              <w:spacing w:after="0"/>
              <w:jc w:val="left"/>
            </w:pPr>
            <w:r/>
            <w:r>
              <w:rPr>
                <w:rFonts w:ascii="Calibri" w:hAnsi="Calibri"/>
                <w:b w:val="0"/>
                <w:color w:val="1A1A1A"/>
                <w:sz w:val="24"/>
              </w:rPr>
              <w:t>6</w:t>
            </w:r>
          </w:p>
        </w:tc>
        <w:tc>
          <w:tcPr>
            <w:tcW w:type="dxa" w:w="7898"/>
            <w:shd w:val="clear" w:color="auto" w:fill="F2F5F8"/>
          </w:tcPr>
          <w:p>
            <w:pPr>
              <w:spacing w:after="0"/>
              <w:jc w:val="left"/>
            </w:pPr>
            <w:r/>
            <w:r>
              <w:rPr>
                <w:rFonts w:ascii="Calibri" w:hAnsi="Calibri"/>
                <w:b w:val="0"/>
                <w:color w:val="1A1A1A"/>
                <w:sz w:val="24"/>
              </w:rPr>
              <w:t>Permitir a reconstrução do procedimento por terceiro revisor autorizado, sem depender da memória do operador.</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POP-N5-T04  Falha de equipamento, incidente e evento adverso relacionado a tecnologia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220"/>
        <w:gridCol w:w="7852"/>
      </w:tblGrid>
      <w:tr>
        <w:trPr>
          <w:cantSplit/>
          <w:tblHeader/>
        </w:trPr>
        <w:tc>
          <w:tcPr>
            <w:tcW w:type="dxa" w:w="1220"/>
            <w:shd w:val="clear" w:color="auto" w:fill="143C64"/>
          </w:tcPr>
          <w:p>
            <w:pPr>
              <w:spacing w:after="0"/>
              <w:jc w:val="left"/>
            </w:pPr>
            <w:r/>
            <w:r>
              <w:rPr>
                <w:rFonts w:ascii="Calibri" w:hAnsi="Calibri"/>
                <w:b/>
                <w:color w:val="FFFFFF"/>
                <w:sz w:val="24"/>
              </w:rPr>
              <w:t>Nº</w:t>
            </w:r>
          </w:p>
        </w:tc>
        <w:tc>
          <w:tcPr>
            <w:tcW w:type="dxa" w:w="7852"/>
            <w:shd w:val="clear" w:color="auto" w:fill="143C64"/>
          </w:tcPr>
          <w:p>
            <w:pPr>
              <w:spacing w:after="0"/>
              <w:jc w:val="left"/>
            </w:pPr>
            <w:r/>
            <w:r>
              <w:rPr>
                <w:rFonts w:ascii="Calibri" w:hAnsi="Calibri"/>
                <w:b/>
                <w:color w:val="FFFFFF"/>
                <w:sz w:val="24"/>
              </w:rPr>
              <w:t>Passo operacional</w:t>
            </w:r>
          </w:p>
        </w:tc>
      </w:tr>
      <w:tr>
        <w:trPr>
          <w:cantSplit/>
        </w:trPr>
        <w:tc>
          <w:tcPr>
            <w:tcW w:type="dxa" w:w="1220"/>
          </w:tcPr>
          <w:p>
            <w:pPr>
              <w:spacing w:after="0"/>
              <w:jc w:val="left"/>
            </w:pPr>
            <w:r/>
            <w:r>
              <w:rPr>
                <w:rFonts w:ascii="Calibri" w:hAnsi="Calibri"/>
                <w:b w:val="0"/>
                <w:color w:val="1A1A1A"/>
                <w:sz w:val="24"/>
              </w:rPr>
              <w:t>1</w:t>
            </w:r>
          </w:p>
        </w:tc>
        <w:tc>
          <w:tcPr>
            <w:tcW w:type="dxa" w:w="7852"/>
          </w:tcPr>
          <w:p>
            <w:pPr>
              <w:spacing w:after="0"/>
              <w:jc w:val="left"/>
            </w:pPr>
            <w:r/>
            <w:r>
              <w:rPr>
                <w:rFonts w:ascii="Calibri" w:hAnsi="Calibri"/>
                <w:b w:val="0"/>
                <w:color w:val="1A1A1A"/>
                <w:sz w:val="24"/>
              </w:rPr>
              <w:t>Interromper o uso diante de falha, comportamento inesperado ou risco potencial ao paciente.</w:t>
            </w:r>
          </w:p>
        </w:tc>
      </w:tr>
      <w:tr>
        <w:trPr>
          <w:cantSplit/>
        </w:trPr>
        <w:tc>
          <w:tcPr>
            <w:tcW w:type="dxa" w:w="1220"/>
            <w:shd w:val="clear" w:color="auto" w:fill="F2F5F8"/>
          </w:tcPr>
          <w:p>
            <w:pPr>
              <w:spacing w:after="0"/>
              <w:jc w:val="left"/>
            </w:pPr>
            <w:r/>
            <w:r>
              <w:rPr>
                <w:rFonts w:ascii="Calibri" w:hAnsi="Calibri"/>
                <w:b w:val="0"/>
                <w:color w:val="1A1A1A"/>
                <w:sz w:val="24"/>
              </w:rPr>
              <w:t>2</w:t>
            </w:r>
          </w:p>
        </w:tc>
        <w:tc>
          <w:tcPr>
            <w:tcW w:type="dxa" w:w="7852"/>
            <w:shd w:val="clear" w:color="auto" w:fill="F2F5F8"/>
          </w:tcPr>
          <w:p>
            <w:pPr>
              <w:spacing w:after="0"/>
              <w:jc w:val="left"/>
            </w:pPr>
            <w:r/>
            <w:r>
              <w:rPr>
                <w:rFonts w:ascii="Calibri" w:hAnsi="Calibri"/>
                <w:b w:val="0"/>
                <w:color w:val="1A1A1A"/>
                <w:sz w:val="24"/>
              </w:rPr>
              <w:t>Priorizar a avaliação e o cuidado clínico do paciente, seguindo o fluxograma de intercorrências aplicável.</w:t>
            </w:r>
          </w:p>
        </w:tc>
      </w:tr>
      <w:tr>
        <w:trPr>
          <w:cantSplit/>
        </w:trPr>
        <w:tc>
          <w:tcPr>
            <w:tcW w:type="dxa" w:w="1220"/>
          </w:tcPr>
          <w:p>
            <w:pPr>
              <w:spacing w:after="0"/>
              <w:jc w:val="left"/>
            </w:pPr>
            <w:r/>
            <w:r>
              <w:rPr>
                <w:rFonts w:ascii="Calibri" w:hAnsi="Calibri"/>
                <w:b w:val="0"/>
                <w:color w:val="1A1A1A"/>
                <w:sz w:val="24"/>
              </w:rPr>
              <w:t>3</w:t>
            </w:r>
          </w:p>
        </w:tc>
        <w:tc>
          <w:tcPr>
            <w:tcW w:type="dxa" w:w="7852"/>
          </w:tcPr>
          <w:p>
            <w:pPr>
              <w:spacing w:after="0"/>
              <w:jc w:val="left"/>
            </w:pPr>
            <w:r/>
            <w:r>
              <w:rPr>
                <w:rFonts w:ascii="Calibri" w:hAnsi="Calibri"/>
                <w:b w:val="0"/>
                <w:color w:val="1A1A1A"/>
                <w:sz w:val="24"/>
              </w:rPr>
              <w:t>Segregar e identificar o equipamento quando houver suspeita de falha técnica, preservando evidências e rastreabilidade.</w:t>
            </w:r>
          </w:p>
        </w:tc>
      </w:tr>
      <w:tr>
        <w:trPr>
          <w:cantSplit/>
        </w:trPr>
        <w:tc>
          <w:tcPr>
            <w:tcW w:type="dxa" w:w="1220"/>
            <w:shd w:val="clear" w:color="auto" w:fill="F2F5F8"/>
          </w:tcPr>
          <w:p>
            <w:pPr>
              <w:spacing w:after="0"/>
              <w:jc w:val="left"/>
            </w:pPr>
            <w:r/>
            <w:r>
              <w:rPr>
                <w:rFonts w:ascii="Calibri" w:hAnsi="Calibri"/>
                <w:b w:val="0"/>
                <w:color w:val="1A1A1A"/>
                <w:sz w:val="24"/>
              </w:rPr>
              <w:t>4</w:t>
            </w:r>
          </w:p>
        </w:tc>
        <w:tc>
          <w:tcPr>
            <w:tcW w:type="dxa" w:w="7852"/>
            <w:shd w:val="clear" w:color="auto" w:fill="F2F5F8"/>
          </w:tcPr>
          <w:p>
            <w:pPr>
              <w:spacing w:after="0"/>
              <w:jc w:val="left"/>
            </w:pPr>
            <w:r/>
            <w:r>
              <w:rPr>
                <w:rFonts w:ascii="Calibri" w:hAnsi="Calibri"/>
                <w:b w:val="0"/>
                <w:color w:val="1A1A1A"/>
                <w:sz w:val="24"/>
              </w:rPr>
              <w:t>Registrar circunstâncias, parâmetros, identificação do equipamento, consumíveis, sequência temporal e medidas adotadas.</w:t>
            </w:r>
          </w:p>
        </w:tc>
      </w:tr>
      <w:tr>
        <w:trPr>
          <w:cantSplit/>
        </w:trPr>
        <w:tc>
          <w:tcPr>
            <w:tcW w:type="dxa" w:w="1220"/>
          </w:tcPr>
          <w:p>
            <w:pPr>
              <w:spacing w:after="0"/>
              <w:jc w:val="left"/>
            </w:pPr>
            <w:r/>
            <w:r>
              <w:rPr>
                <w:rFonts w:ascii="Calibri" w:hAnsi="Calibri"/>
                <w:b w:val="0"/>
                <w:color w:val="1A1A1A"/>
                <w:sz w:val="24"/>
              </w:rPr>
              <w:t>5</w:t>
            </w:r>
          </w:p>
        </w:tc>
        <w:tc>
          <w:tcPr>
            <w:tcW w:type="dxa" w:w="7852"/>
          </w:tcPr>
          <w:p>
            <w:pPr>
              <w:spacing w:after="0"/>
              <w:jc w:val="left"/>
            </w:pPr>
            <w:r/>
            <w:r>
              <w:rPr>
                <w:rFonts w:ascii="Calibri" w:hAnsi="Calibri"/>
                <w:b w:val="0"/>
                <w:color w:val="1A1A1A"/>
                <w:sz w:val="24"/>
              </w:rPr>
              <w:t>Avaliar a necessidade de assistência técnica, de notificação sanitária e de comunicação ao fabricante ou detentor do registro, conforme aplicável.</w:t>
            </w:r>
          </w:p>
        </w:tc>
      </w:tr>
      <w:tr>
        <w:trPr>
          <w:cantSplit/>
        </w:trPr>
        <w:tc>
          <w:tcPr>
            <w:tcW w:type="dxa" w:w="1220"/>
            <w:shd w:val="clear" w:color="auto" w:fill="F2F5F8"/>
          </w:tcPr>
          <w:p>
            <w:pPr>
              <w:spacing w:after="0"/>
              <w:jc w:val="left"/>
            </w:pPr>
            <w:r/>
            <w:r>
              <w:rPr>
                <w:rFonts w:ascii="Calibri" w:hAnsi="Calibri"/>
                <w:b w:val="0"/>
                <w:color w:val="1A1A1A"/>
                <w:sz w:val="24"/>
              </w:rPr>
              <w:t>6</w:t>
            </w:r>
          </w:p>
        </w:tc>
        <w:tc>
          <w:tcPr>
            <w:tcW w:type="dxa" w:w="7852"/>
            <w:shd w:val="clear" w:color="auto" w:fill="F2F5F8"/>
          </w:tcPr>
          <w:p>
            <w:pPr>
              <w:spacing w:after="0"/>
              <w:jc w:val="left"/>
            </w:pPr>
            <w:r/>
            <w:r>
              <w:rPr>
                <w:rFonts w:ascii="Calibri" w:hAnsi="Calibri"/>
                <w:b w:val="0"/>
                <w:color w:val="1A1A1A"/>
                <w:sz w:val="24"/>
              </w:rPr>
              <w:t>Realizar análise de causa e ação corretiva antes da liberação para novo uso.</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r>
        <w:br w:type="page"/>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96"/>
        <w:gridCol w:w="3098"/>
        <w:gridCol w:w="3778"/>
      </w:tblGrid>
      <w:tr>
        <w:trPr>
          <w:cantSplit/>
          <w:tblHeader/>
        </w:trPr>
        <w:tc>
          <w:tcPr>
            <w:tcW w:type="dxa" w:w="2196"/>
            <w:shd w:val="clear" w:color="auto" w:fill="143C64"/>
          </w:tcPr>
          <w:p>
            <w:pPr>
              <w:spacing w:after="0"/>
              <w:jc w:val="left"/>
            </w:pPr>
            <w:r/>
            <w:r>
              <w:rPr>
                <w:rFonts w:ascii="Calibri" w:hAnsi="Calibri"/>
                <w:b/>
                <w:color w:val="FFFFFF"/>
                <w:sz w:val="24"/>
              </w:rPr>
              <w:t>Ato</w:t>
            </w:r>
          </w:p>
        </w:tc>
        <w:tc>
          <w:tcPr>
            <w:tcW w:type="dxa" w:w="3098"/>
            <w:shd w:val="clear" w:color="auto" w:fill="143C64"/>
          </w:tcPr>
          <w:p>
            <w:pPr>
              <w:spacing w:after="0"/>
              <w:jc w:val="left"/>
            </w:pPr>
            <w:r/>
            <w:r>
              <w:rPr>
                <w:rFonts w:ascii="Calibri" w:hAnsi="Calibri"/>
                <w:b/>
                <w:color w:val="FFFFFF"/>
                <w:sz w:val="24"/>
              </w:rPr>
              <w:t>Objeto</w:t>
            </w:r>
          </w:p>
        </w:tc>
        <w:tc>
          <w:tcPr>
            <w:tcW w:type="dxa" w:w="3778"/>
            <w:shd w:val="clear" w:color="auto" w:fill="143C64"/>
          </w:tcPr>
          <w:p>
            <w:pPr>
              <w:spacing w:after="0"/>
              <w:jc w:val="left"/>
            </w:pPr>
            <w:r/>
            <w:r>
              <w:rPr>
                <w:rFonts w:ascii="Calibri" w:hAnsi="Calibri"/>
                <w:b/>
                <w:color w:val="FFFFFF"/>
                <w:sz w:val="24"/>
              </w:rPr>
              <w:t>Incidência no pacote</w:t>
            </w:r>
          </w:p>
        </w:tc>
      </w:tr>
      <w:tr>
        <w:trPr>
          <w:cantSplit/>
        </w:trPr>
        <w:tc>
          <w:tcPr>
            <w:tcW w:type="dxa" w:w="2196"/>
          </w:tcPr>
          <w:p>
            <w:pPr>
              <w:spacing w:after="0"/>
              <w:jc w:val="left"/>
            </w:pPr>
            <w:r/>
            <w:r>
              <w:rPr>
                <w:rFonts w:ascii="Calibri" w:hAnsi="Calibri"/>
                <w:b w:val="0"/>
                <w:color w:val="1A1A1A"/>
                <w:sz w:val="24"/>
              </w:rPr>
              <w:t>Lei nº 5.081, de 24 de agosto de 1966</w:t>
            </w:r>
          </w:p>
        </w:tc>
        <w:tc>
          <w:tcPr>
            <w:tcW w:type="dxa" w:w="3098"/>
          </w:tcPr>
          <w:p>
            <w:pPr>
              <w:spacing w:after="0"/>
              <w:jc w:val="left"/>
            </w:pPr>
            <w:r/>
            <w:r>
              <w:rPr>
                <w:rFonts w:ascii="Calibri" w:hAnsi="Calibri"/>
                <w:b w:val="0"/>
                <w:color w:val="1A1A1A"/>
                <w:sz w:val="24"/>
              </w:rPr>
              <w:t>Regula o exercício da Odontologia no Brasil.</w:t>
            </w:r>
          </w:p>
        </w:tc>
        <w:tc>
          <w:tcPr>
            <w:tcW w:type="dxa" w:w="3778"/>
          </w:tcPr>
          <w:p>
            <w:pPr>
              <w:spacing w:after="0"/>
              <w:jc w:val="left"/>
            </w:pPr>
            <w:r/>
            <w:r>
              <w:rPr>
                <w:rFonts w:ascii="Calibri" w:hAnsi="Calibri"/>
                <w:b w:val="0"/>
                <w:color w:val="1A1A1A"/>
                <w:sz w:val="24"/>
              </w:rPr>
              <w:t>Base legal do exercício profissional.</w:t>
            </w:r>
          </w:p>
        </w:tc>
      </w:tr>
      <w:tr>
        <w:trPr>
          <w:cantSplit/>
        </w:trPr>
        <w:tc>
          <w:tcPr>
            <w:tcW w:type="dxa" w:w="2196"/>
            <w:shd w:val="clear" w:color="auto" w:fill="F2F5F8"/>
          </w:tcPr>
          <w:p>
            <w:pPr>
              <w:spacing w:after="0"/>
              <w:jc w:val="left"/>
            </w:pPr>
            <w:r/>
            <w:r>
              <w:rPr>
                <w:rFonts w:ascii="Calibri" w:hAnsi="Calibri"/>
                <w:b w:val="0"/>
                <w:color w:val="1A1A1A"/>
                <w:sz w:val="24"/>
              </w:rPr>
              <w:t>Resolução CFO nº 118/2012</w:t>
            </w:r>
          </w:p>
        </w:tc>
        <w:tc>
          <w:tcPr>
            <w:tcW w:type="dxa" w:w="3098"/>
            <w:shd w:val="clear" w:color="auto" w:fill="F2F5F8"/>
          </w:tcPr>
          <w:p>
            <w:pPr>
              <w:spacing w:after="0"/>
              <w:jc w:val="left"/>
            </w:pPr>
            <w:r/>
            <w:r>
              <w:rPr>
                <w:rFonts w:ascii="Calibri" w:hAnsi="Calibri"/>
                <w:b w:val="0"/>
                <w:color w:val="1A1A1A"/>
                <w:sz w:val="24"/>
              </w:rPr>
              <w:t>Código de Ética Odontológica.</w:t>
            </w:r>
          </w:p>
        </w:tc>
        <w:tc>
          <w:tcPr>
            <w:tcW w:type="dxa" w:w="3778"/>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96"/>
          </w:tcPr>
          <w:p>
            <w:pPr>
              <w:spacing w:after="0"/>
              <w:jc w:val="left"/>
            </w:pPr>
            <w:r/>
            <w:r>
              <w:rPr>
                <w:rFonts w:ascii="Calibri" w:hAnsi="Calibri"/>
                <w:b w:val="0"/>
                <w:color w:val="1A1A1A"/>
                <w:sz w:val="24"/>
              </w:rPr>
              <w:t>RDC Anvisa nº 1.002, de 15 de dezembro de 2025</w:t>
            </w:r>
          </w:p>
        </w:tc>
        <w:tc>
          <w:tcPr>
            <w:tcW w:type="dxa" w:w="3098"/>
          </w:tcPr>
          <w:p>
            <w:pPr>
              <w:spacing w:after="0"/>
              <w:jc w:val="left"/>
            </w:pPr>
            <w:r/>
            <w:r>
              <w:rPr>
                <w:rFonts w:ascii="Calibri" w:hAnsi="Calibri"/>
                <w:b w:val="0"/>
                <w:color w:val="1A1A1A"/>
                <w:sz w:val="24"/>
              </w:rPr>
              <w:t>Boas Práticas de Funcionamento para serviços que prestam assistência odontológica.</w:t>
            </w:r>
          </w:p>
        </w:tc>
        <w:tc>
          <w:tcPr>
            <w:tcW w:type="dxa" w:w="3778"/>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96"/>
            <w:shd w:val="clear" w:color="auto" w:fill="F2F5F8"/>
          </w:tcPr>
          <w:p>
            <w:pPr>
              <w:spacing w:after="0"/>
              <w:jc w:val="left"/>
            </w:pPr>
            <w:r/>
            <w:r>
              <w:rPr>
                <w:rFonts w:ascii="Calibri" w:hAnsi="Calibri"/>
                <w:b w:val="0"/>
                <w:color w:val="1A1A1A"/>
                <w:sz w:val="24"/>
              </w:rPr>
              <w:t>RDC Anvisa nº 63/2011</w:t>
            </w:r>
          </w:p>
        </w:tc>
        <w:tc>
          <w:tcPr>
            <w:tcW w:type="dxa" w:w="3098"/>
            <w:shd w:val="clear" w:color="auto" w:fill="F2F5F8"/>
          </w:tcPr>
          <w:p>
            <w:pPr>
              <w:spacing w:after="0"/>
              <w:jc w:val="left"/>
            </w:pPr>
            <w:r/>
            <w:r>
              <w:rPr>
                <w:rFonts w:ascii="Calibri" w:hAnsi="Calibri"/>
                <w:b w:val="0"/>
                <w:color w:val="1A1A1A"/>
                <w:sz w:val="24"/>
              </w:rPr>
              <w:t>Boas Práticas de Funcionamento para serviços de saúde.</w:t>
            </w:r>
          </w:p>
        </w:tc>
        <w:tc>
          <w:tcPr>
            <w:tcW w:type="dxa" w:w="3778"/>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96"/>
          </w:tcPr>
          <w:p>
            <w:pPr>
              <w:spacing w:after="0"/>
              <w:jc w:val="left"/>
            </w:pPr>
            <w:r/>
            <w:r>
              <w:rPr>
                <w:rFonts w:ascii="Calibri" w:hAnsi="Calibri"/>
                <w:b w:val="0"/>
                <w:color w:val="1A1A1A"/>
                <w:sz w:val="24"/>
              </w:rPr>
              <w:t>RDC Anvisa nº 509/2021</w:t>
            </w:r>
          </w:p>
        </w:tc>
        <w:tc>
          <w:tcPr>
            <w:tcW w:type="dxa" w:w="3098"/>
          </w:tcPr>
          <w:p>
            <w:pPr>
              <w:spacing w:after="0"/>
              <w:jc w:val="left"/>
            </w:pPr>
            <w:r/>
            <w:r>
              <w:rPr>
                <w:rFonts w:ascii="Calibri" w:hAnsi="Calibri"/>
                <w:b w:val="0"/>
                <w:color w:val="1A1A1A"/>
                <w:sz w:val="24"/>
              </w:rPr>
              <w:t>Gerenciamento de tecnologias em serviços de saúde.</w:t>
            </w:r>
          </w:p>
        </w:tc>
        <w:tc>
          <w:tcPr>
            <w:tcW w:type="dxa" w:w="3778"/>
          </w:tcPr>
          <w:p>
            <w:pPr>
              <w:spacing w:after="0"/>
              <w:jc w:val="left"/>
            </w:pPr>
            <w:r/>
            <w:r>
              <w:rPr>
                <w:rFonts w:ascii="Calibri" w:hAnsi="Calibri"/>
                <w:b w:val="0"/>
                <w:color w:val="1A1A1A"/>
                <w:sz w:val="24"/>
              </w:rPr>
              <w:t>Plano de gerenciamento, rastreabilidade, guarda e monitoramento.</w:t>
            </w:r>
          </w:p>
        </w:tc>
      </w:tr>
      <w:tr>
        <w:trPr>
          <w:cantSplit/>
        </w:trPr>
        <w:tc>
          <w:tcPr>
            <w:tcW w:type="dxa" w:w="2196"/>
            <w:shd w:val="clear" w:color="auto" w:fill="F2F5F8"/>
          </w:tcPr>
          <w:p>
            <w:pPr>
              <w:spacing w:after="0"/>
              <w:jc w:val="left"/>
            </w:pPr>
            <w:r/>
            <w:r>
              <w:rPr>
                <w:rFonts w:ascii="Calibri" w:hAnsi="Calibri"/>
                <w:b w:val="0"/>
                <w:color w:val="1A1A1A"/>
                <w:sz w:val="24"/>
              </w:rPr>
              <w:t>RDC Anvisa nº 751/2022</w:t>
            </w:r>
          </w:p>
        </w:tc>
        <w:tc>
          <w:tcPr>
            <w:tcW w:type="dxa" w:w="3098"/>
            <w:shd w:val="clear" w:color="auto" w:fill="F2F5F8"/>
          </w:tcPr>
          <w:p>
            <w:pPr>
              <w:spacing w:after="0"/>
              <w:jc w:val="left"/>
            </w:pPr>
            <w:r/>
            <w:r>
              <w:rPr>
                <w:rFonts w:ascii="Calibri" w:hAnsi="Calibri"/>
                <w:b w:val="0"/>
                <w:color w:val="1A1A1A"/>
                <w:sz w:val="24"/>
              </w:rPr>
              <w:t>Dispositivos médicos: classificação e regularização.</w:t>
            </w:r>
          </w:p>
        </w:tc>
        <w:tc>
          <w:tcPr>
            <w:tcW w:type="dxa" w:w="3778"/>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96"/>
          </w:tcPr>
          <w:p>
            <w:pPr>
              <w:spacing w:after="0"/>
              <w:jc w:val="left"/>
            </w:pPr>
            <w:r/>
            <w:r>
              <w:rPr>
                <w:rFonts w:ascii="Calibri" w:hAnsi="Calibri"/>
                <w:b w:val="0"/>
                <w:color w:val="1A1A1A"/>
                <w:sz w:val="24"/>
              </w:rPr>
              <w:t>RDC Anvisa nº 549/2021</w:t>
            </w:r>
          </w:p>
        </w:tc>
        <w:tc>
          <w:tcPr>
            <w:tcW w:type="dxa" w:w="3098"/>
          </w:tcPr>
          <w:p>
            <w:pPr>
              <w:spacing w:after="0"/>
              <w:jc w:val="left"/>
            </w:pPr>
            <w:r/>
            <w:r>
              <w:rPr>
                <w:rFonts w:ascii="Calibri" w:hAnsi="Calibri"/>
                <w:b w:val="0"/>
                <w:color w:val="1A1A1A"/>
                <w:sz w:val="24"/>
              </w:rPr>
              <w:t>Certificação de conformidade de equipamentos sob regime aplicável.</w:t>
            </w:r>
          </w:p>
        </w:tc>
        <w:tc>
          <w:tcPr>
            <w:tcW w:type="dxa" w:w="3778"/>
          </w:tcPr>
          <w:p>
            <w:pPr>
              <w:spacing w:after="0"/>
              <w:jc w:val="left"/>
            </w:pPr>
            <w:r/>
            <w:r>
              <w:rPr>
                <w:rFonts w:ascii="Calibri" w:hAnsi="Calibri"/>
                <w:b w:val="0"/>
                <w:color w:val="1A1A1A"/>
                <w:sz w:val="24"/>
              </w:rPr>
              <w:t>Conformidade de equipamentos eletromédicos.</w:t>
            </w:r>
          </w:p>
        </w:tc>
      </w:tr>
      <w:tr>
        <w:trPr>
          <w:cantSplit/>
        </w:trPr>
        <w:tc>
          <w:tcPr>
            <w:tcW w:type="dxa" w:w="2196"/>
            <w:shd w:val="clear" w:color="auto" w:fill="F2F5F8"/>
          </w:tcPr>
          <w:p>
            <w:pPr>
              <w:spacing w:after="0"/>
              <w:jc w:val="left"/>
            </w:pPr>
            <w:r/>
            <w:r>
              <w:rPr>
                <w:rFonts w:ascii="Calibri" w:hAnsi="Calibri"/>
                <w:b w:val="0"/>
                <w:color w:val="1A1A1A"/>
                <w:sz w:val="24"/>
              </w:rPr>
              <w:t>Lei nº 13.709/2018</w:t>
            </w:r>
          </w:p>
        </w:tc>
        <w:tc>
          <w:tcPr>
            <w:tcW w:type="dxa" w:w="3098"/>
            <w:shd w:val="clear" w:color="auto" w:fill="F2F5F8"/>
          </w:tcPr>
          <w:p>
            <w:pPr>
              <w:spacing w:after="0"/>
              <w:jc w:val="left"/>
            </w:pPr>
            <w:r/>
            <w:r>
              <w:rPr>
                <w:rFonts w:ascii="Calibri" w:hAnsi="Calibri"/>
                <w:b w:val="0"/>
                <w:color w:val="1A1A1A"/>
                <w:sz w:val="24"/>
              </w:rPr>
              <w:t>Lei Geral de Proteção de Dados Pessoais.</w:t>
            </w:r>
          </w:p>
        </w:tc>
        <w:tc>
          <w:tcPr>
            <w:tcW w:type="dxa" w:w="3778"/>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96"/>
          </w:tcPr>
          <w:p>
            <w:pPr>
              <w:spacing w:after="0"/>
              <w:jc w:val="left"/>
            </w:pPr>
            <w:r/>
            <w:r>
              <w:rPr>
                <w:rFonts w:ascii="Calibri" w:hAnsi="Calibri"/>
                <w:b w:val="0"/>
                <w:color w:val="1A1A1A"/>
                <w:sz w:val="24"/>
              </w:rPr>
              <w:t>Lei nº 15.378, de 6 de abril de 2026</w:t>
            </w:r>
          </w:p>
        </w:tc>
        <w:tc>
          <w:tcPr>
            <w:tcW w:type="dxa" w:w="3098"/>
          </w:tcPr>
          <w:p>
            <w:pPr>
              <w:spacing w:after="0"/>
              <w:jc w:val="left"/>
            </w:pPr>
            <w:r/>
            <w:r>
              <w:rPr>
                <w:rFonts w:ascii="Calibri" w:hAnsi="Calibri"/>
                <w:b w:val="0"/>
                <w:color w:val="1A1A1A"/>
                <w:sz w:val="24"/>
              </w:rPr>
              <w:t>Institui o Estatuto dos Direitos do Paciente.</w:t>
            </w:r>
          </w:p>
        </w:tc>
        <w:tc>
          <w:tcPr>
            <w:tcW w:type="dxa" w:w="3778"/>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96"/>
            <w:shd w:val="clear" w:color="auto" w:fill="F2F5F8"/>
          </w:tcPr>
          <w:p>
            <w:pPr>
              <w:spacing w:after="0"/>
              <w:jc w:val="left"/>
            </w:pPr>
            <w:r/>
            <w:r>
              <w:rPr>
                <w:rFonts w:ascii="Calibri" w:hAnsi="Calibri"/>
                <w:b w:val="0"/>
                <w:color w:val="1A1A1A"/>
                <w:sz w:val="24"/>
              </w:rPr>
              <w:t>Lei nº 12.842/2013</w:t>
            </w:r>
          </w:p>
        </w:tc>
        <w:tc>
          <w:tcPr>
            <w:tcW w:type="dxa" w:w="3098"/>
            <w:shd w:val="clear" w:color="auto" w:fill="F2F5F8"/>
          </w:tcPr>
          <w:p>
            <w:pPr>
              <w:spacing w:after="0"/>
              <w:jc w:val="left"/>
            </w:pPr>
            <w:r/>
            <w:r>
              <w:rPr>
                <w:rFonts w:ascii="Calibri" w:hAnsi="Calibri"/>
                <w:b w:val="0"/>
                <w:color w:val="1A1A1A"/>
                <w:sz w:val="24"/>
              </w:rPr>
              <w:t>Lei do Ato Médico.</w:t>
            </w:r>
          </w:p>
        </w:tc>
        <w:tc>
          <w:tcPr>
            <w:tcW w:type="dxa" w:w="3778"/>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96"/>
          </w:tcPr>
          <w:p>
            <w:pPr>
              <w:spacing w:after="0"/>
              <w:jc w:val="left"/>
            </w:pPr>
            <w:r/>
            <w:r>
              <w:rPr>
                <w:rFonts w:ascii="Calibri" w:hAnsi="Calibri"/>
                <w:b w:val="0"/>
                <w:color w:val="1A1A1A"/>
                <w:sz w:val="24"/>
              </w:rPr>
              <w:t>Portaria CRO-MG nº 190/2026</w:t>
            </w:r>
          </w:p>
        </w:tc>
        <w:tc>
          <w:tcPr>
            <w:tcW w:type="dxa" w:w="3098"/>
          </w:tcPr>
          <w:p>
            <w:pPr>
              <w:spacing w:after="0"/>
              <w:jc w:val="left"/>
            </w:pPr>
            <w:r/>
            <w:r>
              <w:rPr>
                <w:rFonts w:ascii="Calibri" w:hAnsi="Calibri"/>
                <w:b w:val="0"/>
                <w:color w:val="1A1A1A"/>
                <w:sz w:val="24"/>
              </w:rPr>
              <w:t>Constitui a Câmara Técnica de HOF e seus Núcleos.</w:t>
            </w:r>
          </w:p>
        </w:tc>
        <w:tc>
          <w:tcPr>
            <w:tcW w:type="dxa" w:w="3778"/>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2347"/>
        <w:gridCol w:w="3150"/>
      </w:tblGrid>
      <w:tr>
        <w:trPr>
          <w:cantSplit/>
          <w:tblHeader/>
        </w:trPr>
        <w:tc>
          <w:tcPr>
            <w:tcW w:type="dxa" w:w="3574"/>
            <w:shd w:val="clear" w:color="auto" w:fill="143C64"/>
          </w:tcPr>
          <w:p>
            <w:pPr>
              <w:spacing w:after="0"/>
              <w:jc w:val="left"/>
            </w:pPr>
            <w:r/>
            <w:r>
              <w:rPr>
                <w:rFonts w:ascii="Calibri" w:hAnsi="Calibri"/>
                <w:b/>
                <w:color w:val="FFFFFF"/>
                <w:sz w:val="24"/>
              </w:rPr>
              <w:t>Referência</w:t>
            </w:r>
          </w:p>
        </w:tc>
        <w:tc>
          <w:tcPr>
            <w:tcW w:type="dxa" w:w="2347"/>
            <w:shd w:val="clear" w:color="auto" w:fill="143C64"/>
          </w:tcPr>
          <w:p>
            <w:pPr>
              <w:spacing w:after="0"/>
              <w:jc w:val="left"/>
            </w:pPr>
            <w:r/>
            <w:r>
              <w:rPr>
                <w:rFonts w:ascii="Calibri" w:hAnsi="Calibri"/>
                <w:b/>
                <w:color w:val="FFFFFF"/>
                <w:sz w:val="24"/>
              </w:rPr>
              <w:t>Desenho</w:t>
            </w:r>
          </w:p>
        </w:tc>
        <w:tc>
          <w:tcPr>
            <w:tcW w:type="dxa" w:w="3150"/>
            <w:shd w:val="clear" w:color="auto" w:fill="143C64"/>
          </w:tcPr>
          <w:p>
            <w:pPr>
              <w:spacing w:after="0"/>
              <w:jc w:val="left"/>
            </w:pPr>
            <w:r/>
            <w:r>
              <w:rPr>
                <w:rFonts w:ascii="Calibri" w:hAnsi="Calibri"/>
                <w:b/>
                <w:color w:val="FFFFFF"/>
                <w:sz w:val="24"/>
              </w:rPr>
              <w:t>Identificadores e verificação</w:t>
            </w:r>
          </w:p>
        </w:tc>
      </w:tr>
      <w:tr>
        <w:trPr>
          <w:cantSplit/>
        </w:trPr>
        <w:tc>
          <w:tcPr>
            <w:tcW w:type="dxa" w:w="3574"/>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47"/>
          </w:tcPr>
          <w:p>
            <w:pPr>
              <w:spacing w:after="0"/>
              <w:jc w:val="left"/>
            </w:pPr>
            <w:r/>
            <w:r>
              <w:rPr>
                <w:rFonts w:ascii="Calibri" w:hAnsi="Calibri"/>
                <w:b w:val="0"/>
                <w:color w:val="1A1A1A"/>
                <w:sz w:val="24"/>
              </w:rPr>
              <w:t>Revisão sistemática</w:t>
            </w:r>
          </w:p>
        </w:tc>
        <w:tc>
          <w:tcPr>
            <w:tcW w:type="dxa" w:w="3150"/>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74"/>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47"/>
            <w:shd w:val="clear" w:color="auto" w:fill="F2F5F8"/>
          </w:tcPr>
          <w:p>
            <w:pPr>
              <w:spacing w:after="0"/>
              <w:jc w:val="left"/>
            </w:pPr>
            <w:r/>
            <w:r>
              <w:rPr>
                <w:rFonts w:ascii="Calibri" w:hAnsi="Calibri"/>
                <w:b w:val="0"/>
                <w:color w:val="1A1A1A"/>
                <w:sz w:val="24"/>
              </w:rPr>
              <w:t>Revisão (35 artigos, PRISMA 2020)</w:t>
            </w:r>
          </w:p>
        </w:tc>
        <w:tc>
          <w:tcPr>
            <w:tcW w:type="dxa" w:w="3150"/>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74"/>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47"/>
          </w:tcPr>
          <w:p>
            <w:pPr>
              <w:spacing w:after="0"/>
              <w:jc w:val="left"/>
            </w:pPr>
            <w:r/>
            <w:r>
              <w:rPr>
                <w:rFonts w:ascii="Calibri" w:hAnsi="Calibri"/>
                <w:b w:val="0"/>
                <w:color w:val="1A1A1A"/>
                <w:sz w:val="24"/>
              </w:rPr>
              <w:t>Revisão</w:t>
            </w:r>
          </w:p>
        </w:tc>
        <w:tc>
          <w:tcPr>
            <w:tcW w:type="dxa" w:w="3150"/>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74"/>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47"/>
            <w:shd w:val="clear" w:color="auto" w:fill="F2F5F8"/>
          </w:tcPr>
          <w:p>
            <w:pPr>
              <w:spacing w:after="0"/>
              <w:jc w:val="left"/>
            </w:pPr>
            <w:r/>
            <w:r>
              <w:rPr>
                <w:rFonts w:ascii="Calibri" w:hAnsi="Calibri"/>
                <w:b w:val="0"/>
                <w:color w:val="1A1A1A"/>
                <w:sz w:val="24"/>
              </w:rPr>
              <w:t>Estudo transversal, 57 participantes</w:t>
            </w:r>
          </w:p>
        </w:tc>
        <w:tc>
          <w:tcPr>
            <w:tcW w:type="dxa" w:w="3150"/>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74"/>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47"/>
          </w:tcPr>
          <w:p>
            <w:pPr>
              <w:spacing w:after="0"/>
              <w:jc w:val="left"/>
            </w:pPr>
            <w:r/>
            <w:r>
              <w:rPr>
                <w:rFonts w:ascii="Calibri" w:hAnsi="Calibri"/>
                <w:b w:val="0"/>
                <w:color w:val="1A1A1A"/>
                <w:sz w:val="24"/>
              </w:rPr>
              <w:t>Revisão sistemática (29 de 1.832 registros)</w:t>
            </w:r>
          </w:p>
        </w:tc>
        <w:tc>
          <w:tcPr>
            <w:tcW w:type="dxa" w:w="3150"/>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N5-POP-CAD · Caderno de POPs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N5-POP-CAD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