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0"/>
      </w:pPr>
    </w:p>
    <w:p>
      <w:pPr>
        <w:spacing w:after="40"/>
        <w:jc w:val="center"/>
      </w:pPr>
      <w:r>
        <w:rPr>
          <w:rFonts w:ascii="Calibri" w:hAnsi="Calibri"/>
          <w:b/>
          <w:i w:val="0"/>
          <w:color w:val="444A52"/>
          <w:sz w:val="24"/>
        </w:rPr>
        <w:t>CONSELHO REGIONAL DE ODONTOLOGIA DE MINAS GERAIS</w:t>
      </w:r>
    </w:p>
    <w:p>
      <w:pPr>
        <w:spacing w:after="40"/>
        <w:jc w:val="center"/>
      </w:pPr>
      <w:r>
        <w:rPr>
          <w:rFonts w:ascii="Calibri" w:hAnsi="Calibri"/>
          <w:b w:val="0"/>
          <w:i w:val="0"/>
          <w:color w:val="444A52"/>
          <w:sz w:val="24"/>
        </w:rPr>
        <w:t>Câmara Técnica de Harmonização Orofacial</w:t>
      </w:r>
    </w:p>
    <w:p>
      <w:pPr>
        <w:spacing w:after="600"/>
        <w:jc w:val="center"/>
      </w:pPr>
      <w:r>
        <w:rPr>
          <w:rFonts w:ascii="Calibri" w:hAnsi="Calibri"/>
          <w:b w:val="0"/>
          <w:i w:val="0"/>
          <w:color w:val="444A52"/>
          <w:sz w:val="24"/>
        </w:rPr>
        <w:t>Núcleo 5 · Inovação, Tecnologias e Segurança Clínica</w:t>
      </w:r>
    </w:p>
    <w:p>
      <w:pPr>
        <w:spacing w:after="200"/>
        <w:jc w:val="center"/>
      </w:pPr>
      <w:r>
        <w:rPr>
          <w:rFonts w:ascii="Calibri" w:hAnsi="Calibri"/>
          <w:b/>
          <w:i w:val="0"/>
          <w:color w:val="8A1C1C"/>
          <w:sz w:val="24"/>
        </w:rPr>
        <w:t>DOCUMENTO TÉCNICO DE REFERÊNCIA</w:t>
      </w:r>
    </w:p>
    <w:p>
      <w:pPr>
        <w:spacing w:after="160"/>
        <w:jc w:val="center"/>
      </w:pPr>
      <w:r>
        <w:rPr>
          <w:rFonts w:ascii="Calibri" w:hAnsi="Calibri"/>
          <w:b/>
          <w:color w:val="143C64"/>
          <w:sz w:val="48"/>
        </w:rPr>
        <w:t>Mapa Normativo Consolidado</w:t>
      </w:r>
    </w:p>
    <w:p>
      <w:pPr>
        <w:spacing w:after="720"/>
        <w:jc w:val="center"/>
      </w:pPr>
      <w:r>
        <w:rPr>
          <w:rFonts w:ascii="Calibri" w:hAnsi="Calibri"/>
          <w:b w:val="0"/>
          <w:i w:val="0"/>
          <w:color w:val="444A52"/>
          <w:sz w:val="26"/>
        </w:rPr>
        <w:t>Camadas normativas incidentes sobre a prática de harmonização orofacial com uso de tecnologias, com registro de vigência, de lacunas e de situação contenciosa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3731"/>
        <w:gridCol w:w="5341"/>
      </w:tblGrid>
      <w:tr>
        <w:trPr>
          <w:cantSplit/>
          <w:tblHeader/>
        </w:trPr>
        <w:tc>
          <w:tcPr>
            <w:tcW w:type="dxa" w:w="3731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Identificação do documento</w:t>
            </w:r>
          </w:p>
        </w:tc>
        <w:tc>
          <w:tcPr>
            <w:tcW w:type="dxa" w:w="5341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Registro</w:t>
            </w:r>
          </w:p>
        </w:tc>
      </w:tr>
      <w:tr>
        <w:trPr>
          <w:cantSplit/>
        </w:trPr>
        <w:tc>
          <w:tcPr>
            <w:tcW w:type="dxa" w:w="373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Código de controle</w:t>
            </w:r>
          </w:p>
        </w:tc>
        <w:tc>
          <w:tcPr>
            <w:tcW w:type="dxa" w:w="534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N5-MAPA-01</w:t>
            </w:r>
          </w:p>
        </w:tc>
      </w:tr>
      <w:tr>
        <w:trPr>
          <w:cantSplit/>
        </w:trPr>
        <w:tc>
          <w:tcPr>
            <w:tcW w:type="dxa" w:w="373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Versão</w:t>
            </w:r>
          </w:p>
        </w:tc>
        <w:tc>
          <w:tcPr>
            <w:tcW w:type="dxa" w:w="534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1.0</w:t>
            </w:r>
          </w:p>
        </w:tc>
      </w:tr>
      <w:tr>
        <w:trPr>
          <w:cantSplit/>
        </w:trPr>
        <w:tc>
          <w:tcPr>
            <w:tcW w:type="dxa" w:w="373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Data de emissão</w:t>
            </w:r>
          </w:p>
        </w:tc>
        <w:tc>
          <w:tcPr>
            <w:tcW w:type="dxa" w:w="534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25 de agosto de 2026</w:t>
            </w:r>
          </w:p>
        </w:tc>
      </w:tr>
      <w:tr>
        <w:trPr>
          <w:cantSplit/>
        </w:trPr>
        <w:tc>
          <w:tcPr>
            <w:tcW w:type="dxa" w:w="373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Situação</w:t>
            </w:r>
          </w:p>
        </w:tc>
        <w:tc>
          <w:tcPr>
            <w:tcW w:type="dxa" w:w="534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Concluído para deliberação (Meta M2)</w:t>
            </w:r>
          </w:p>
        </w:tc>
      </w:tr>
      <w:tr>
        <w:trPr>
          <w:cantSplit/>
        </w:trPr>
        <w:tc>
          <w:tcPr>
            <w:tcW w:type="dxa" w:w="373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Elaboração</w:t>
            </w:r>
          </w:p>
        </w:tc>
        <w:tc>
          <w:tcPr>
            <w:tcW w:type="dxa" w:w="534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Núcleo 5 · Inovação, Tecnologias e Segurança Clínica</w:t>
            </w:r>
          </w:p>
        </w:tc>
      </w:tr>
      <w:tr>
        <w:trPr>
          <w:cantSplit/>
        </w:trPr>
        <w:tc>
          <w:tcPr>
            <w:tcW w:type="dxa" w:w="373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Natureza</w:t>
            </w:r>
          </w:p>
        </w:tc>
        <w:tc>
          <w:tcPr>
            <w:tcW w:type="dxa" w:w="534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Documento técnico-consultivo, sem caráter normativo ou disciplinar</w:t>
            </w:r>
          </w:p>
        </w:tc>
      </w:tr>
      <w:tr>
        <w:trPr>
          <w:cantSplit/>
        </w:trPr>
        <w:tc>
          <w:tcPr>
            <w:tcW w:type="dxa" w:w="373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Condição de publicação</w:t>
            </w:r>
          </w:p>
        </w:tc>
        <w:tc>
          <w:tcPr>
            <w:tcW w:type="dxa" w:w="534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Sujeito a validação pela Diretoria Executiva do CRO-MG</w:t>
            </w:r>
          </w:p>
        </w:tc>
      </w:tr>
    </w:tbl>
    <w:p>
      <w:pPr>
        <w:spacing w:after="480"/>
      </w:pPr>
    </w:p>
    <w:p>
      <w:pPr>
        <w:spacing w:after="120"/>
        <w:jc w:val="center"/>
      </w:pPr>
      <w:r>
        <w:rPr>
          <w:rFonts w:ascii="Calibri" w:hAnsi="Calibri"/>
          <w:b w:val="0"/>
          <w:i/>
          <w:color w:val="444A52"/>
          <w:sz w:val="24"/>
        </w:rPr>
        <w:t>Documento de circulação interna do Núcleo 5. Não constitui norma, parecer vinculante ou orientação oficial do CRO-MG enquanto não houver deliberação do colegiado e validação da Diretoria Executiva.</w:t>
      </w:r>
    </w:p>
    <w:p>
      <w:r>
        <w:br w:type="page"/>
      </w: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1  Finalidade, método e advertência de uso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Este documento consolida as camadas normativas que incidem simultaneamente sobre a prática de harmonização orofacial com uso de tecnologias. Atende à Meta M2 do ciclo 2026 na parte relativa ao mapa normativo. A parte relativa à consulta formal à Vigilância Sanitária Estadual é objeto do documento N5-OFIC-01.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O mapa parte de uma constatação de consequência prática: o profissional que verifica apenas a situação de registro do produto na Anvisa supõe estar em conformidade e desconhece obrigações que recaem sobre o estabelecimento, sobre o equipamento, sobre o tratamento de dados e sobre o próprio exercício profissional. As camadas são cumulativas, não alternativas.</w:t>
      </w:r>
    </w:p>
    <w:p>
      <w:pPr>
        <w:keepNext/>
        <w:spacing w:before="240" w:after="80"/>
        <w:jc w:val="left"/>
      </w:pPr>
      <w:r>
        <w:rPr>
          <w:rFonts w:ascii="Calibri" w:hAnsi="Calibri"/>
          <w:b/>
          <w:color w:val="143C64"/>
          <w:sz w:val="26"/>
        </w:rPr>
        <w:t>1.1  Método adotado</w:t>
      </w:r>
    </w:p>
    <w:p>
      <w:pPr>
        <w:pStyle w:val="ListBullet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Toda norma citada é acompanhada de data e de grau de verificação, conforme o item 1.2.</w:t>
      </w:r>
    </w:p>
    <w:p>
      <w:pPr>
        <w:pStyle w:val="ListBullet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Norma cuja validade esteja sob questionamento judicial é registrada com essa condição expressa, sem juízo do Núcleo sobre o mérito da controvérsia.</w:t>
      </w:r>
    </w:p>
    <w:p>
      <w:pPr>
        <w:pStyle w:val="ListBullet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Exigência que varia por ente federativo é declarada como lacuna, e não estimada.</w:t>
      </w:r>
    </w:p>
    <w:p>
      <w:pPr>
        <w:pStyle w:val="ListBullet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A consolidação da camada estadual e municipal depende de resposta a consulta formal, e não de inferência.</w:t>
      </w:r>
    </w:p>
    <w:p>
      <w:pPr>
        <w:keepNext/>
        <w:spacing w:before="240" w:after="80"/>
        <w:jc w:val="left"/>
      </w:pPr>
      <w:r>
        <w:rPr>
          <w:rFonts w:ascii="Calibri" w:hAnsi="Calibri"/>
          <w:b/>
          <w:color w:val="143C64"/>
          <w:sz w:val="26"/>
        </w:rPr>
        <w:t>1.2  Grau de verificação adotado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3954"/>
        <w:gridCol w:w="5118"/>
      </w:tblGrid>
      <w:tr>
        <w:trPr>
          <w:cantSplit/>
          <w:tblHeader/>
        </w:trPr>
        <w:tc>
          <w:tcPr>
            <w:tcW w:type="dxa" w:w="3954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Grau</w:t>
            </w:r>
          </w:p>
        </w:tc>
        <w:tc>
          <w:tcPr>
            <w:tcW w:type="dxa" w:w="5118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Significado</w:t>
            </w:r>
          </w:p>
        </w:tc>
      </w:tr>
      <w:tr>
        <w:trPr>
          <w:cantSplit/>
        </w:trPr>
        <w:tc>
          <w:tcPr>
            <w:tcW w:type="dxa" w:w="395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V1. Verificado em fonte oficial</w:t>
            </w:r>
          </w:p>
        </w:tc>
        <w:tc>
          <w:tcPr>
            <w:tcW w:type="dxa" w:w="511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Texto do ato localizado em veículo oficial ou em repositório do órgão emissor.</w:t>
            </w:r>
          </w:p>
        </w:tc>
      </w:tr>
      <w:tr>
        <w:trPr>
          <w:cantSplit/>
        </w:trPr>
        <w:tc>
          <w:tcPr>
            <w:tcW w:type="dxa" w:w="395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V2. Verificado em fonte secundária qualificada</w:t>
            </w:r>
          </w:p>
        </w:tc>
        <w:tc>
          <w:tcPr>
            <w:tcW w:type="dxa" w:w="511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Existência e conteúdo essencial confirmados por mais de uma fonte institucional ou jornalística de referência, sem leitura integral do texto oficial.</w:t>
            </w:r>
          </w:p>
        </w:tc>
      </w:tr>
      <w:tr>
        <w:trPr>
          <w:cantSplit/>
        </w:trPr>
        <w:tc>
          <w:tcPr>
            <w:tcW w:type="dxa" w:w="395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V3. Pendente de verificação</w:t>
            </w:r>
          </w:p>
        </w:tc>
        <w:tc>
          <w:tcPr>
            <w:tcW w:type="dxa" w:w="511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Informação relevante localizada, porém com divergência entre fontes ou sem confirmação suficiente. Exige consulta ao texto oficial antes de qualquer uso institucional.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120" w:type="dxa"/>
          <w:left w:w="160" w:type="dxa"/>
          <w:bottom w:w="120" w:type="dxa"/>
          <w:right w:w="160" w:type="dxa"/>
        </w:tblCellMar>
        <w:tblBorders>
          <w:top w:val="single" w:sz="4" w:space="0" w:color="FDF4E6"/>
          <w:bottom w:val="single" w:sz="4" w:space="0" w:color="FDF4E6"/>
          <w:right w:val="single" w:sz="4" w:space="0" w:color="FDF4E6"/>
          <w:insideH w:val="single" w:sz="4" w:space="0" w:color="FDF4E6"/>
          <w:insideV w:val="single" w:sz="4" w:space="0" w:color="FDF4E6"/>
          <w:left w:val="single" w:sz="24" w:space="0" w:color="A66A00"/>
        </w:tblBorders>
        <w:tblLayout w:type="fixed"/>
      </w:tblPr>
      <w:tblGrid>
        <w:gridCol w:w="9072"/>
      </w:tblGrid>
      <w:tr>
        <w:tc>
          <w:tcPr>
            <w:tcW w:type="dxa" w:w="9072"/>
            <w:shd w:val="clear" w:color="auto" w:fill="FDF4E6"/>
          </w:tcPr>
          <w:p>
            <w:pPr>
              <w:spacing w:after="60"/>
              <w:jc w:val="left"/>
            </w:pPr>
            <w:r/>
            <w:r>
              <w:rPr>
                <w:rFonts w:ascii="Calibri" w:hAnsi="Calibri"/>
                <w:b/>
                <w:color w:val="143C64"/>
                <w:sz w:val="24"/>
              </w:rPr>
              <w:t>Advertência de uso e data de referência</w:t>
            </w:r>
          </w:p>
          <w:p>
            <w:pPr>
              <w:spacing w:after="0"/>
              <w:jc w:val="both"/>
            </w:pPr>
            <w:r>
              <w:rPr>
                <w:rFonts w:ascii="Calibri" w:hAnsi="Calibri"/>
                <w:color w:val="1A1A1A"/>
                <w:sz w:val="24"/>
              </w:rPr>
              <w:t>Este mapa reflete a situação verificada em 25 de agosto de 2026. Matéria normativa e processual muda. Antes de qualquer uso institucional deste documento, e antes de sua citação em parecer, nota técnica ou material educativo, a situação de cada ato deve ser reconferida na fonte oficial e a data da reconferência registrada. Este documento não constitui orientação jurídica nem parecer do CRO-MG.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2  Camada 1. Exercício profissional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Esta é a camada que sofreu maior alteração desde a instalação do Núcleo e é, hoje, a de maior instabilidade. Incide sobre o profissional: competência, escopo de atuação, conduta ética, formação exigida e responsabilidade.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677"/>
        <w:gridCol w:w="4709"/>
        <w:gridCol w:w="1686"/>
      </w:tblGrid>
      <w:tr>
        <w:trPr>
          <w:cantSplit/>
          <w:tblHeader/>
        </w:trPr>
        <w:tc>
          <w:tcPr>
            <w:tcW w:type="dxa" w:w="2677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Ato</w:t>
            </w:r>
          </w:p>
        </w:tc>
        <w:tc>
          <w:tcPr>
            <w:tcW w:type="dxa" w:w="4709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Objeto</w:t>
            </w:r>
          </w:p>
        </w:tc>
        <w:tc>
          <w:tcPr>
            <w:tcW w:type="dxa" w:w="1686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Verif.</w:t>
            </w:r>
          </w:p>
        </w:tc>
      </w:tr>
      <w:tr>
        <w:trPr>
          <w:cantSplit/>
        </w:trPr>
        <w:tc>
          <w:tcPr>
            <w:tcW w:type="dxa" w:w="267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Lei nº 5.081, de 24 de agosto de 1966</w:t>
            </w:r>
          </w:p>
        </w:tc>
        <w:tc>
          <w:tcPr>
            <w:tcW w:type="dxa" w:w="470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Regula o exercício da Odontologia. Base legal de competência sobre a qual se assenta toda a regulamentação infralegal do Conselho.</w:t>
            </w:r>
          </w:p>
        </w:tc>
        <w:tc>
          <w:tcPr>
            <w:tcW w:type="dxa" w:w="1686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V2</w:t>
            </w:r>
          </w:p>
        </w:tc>
      </w:tr>
      <w:tr>
        <w:trPr>
          <w:cantSplit/>
        </w:trPr>
        <w:tc>
          <w:tcPr>
            <w:tcW w:type="dxa" w:w="267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Lei nº 15.378, de 6 de abril de 2026</w:t>
            </w:r>
          </w:p>
        </w:tc>
        <w:tc>
          <w:tcPr>
            <w:tcW w:type="dxa" w:w="470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Institui o Estatuto dos Direitos do Paciente. Publicada em 7 de abril de 2026 e em vigor. Sistematiza em lei federal direitos até então dispersos em normas éticas: informação clara sobre diagnóstico, tratamento, alternativas e riscos; autonomia e consentimento informado; acesso do paciente ao prontuário sem necessidade de justificativa; confidencialidade; atendimento por profissionais capacitados e com insumos seguros.</w:t>
            </w:r>
          </w:p>
        </w:tc>
        <w:tc>
          <w:tcPr>
            <w:tcW w:type="dxa" w:w="1686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V1</w:t>
            </w:r>
          </w:p>
        </w:tc>
      </w:tr>
      <w:tr>
        <w:trPr>
          <w:cantSplit/>
        </w:trPr>
        <w:tc>
          <w:tcPr>
            <w:tcW w:type="dxa" w:w="267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Resolução CFO nº 118, de 11 de maio de 2012</w:t>
            </w:r>
          </w:p>
        </w:tc>
        <w:tc>
          <w:tcPr>
            <w:tcW w:type="dxa" w:w="470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Código de Ética Odontológica. Regula direitos e deveres do cirurgião-dentista, incluindo publicidade, honorários e exercício de especialidades. Sujeita a alterações posteriores que devem ser conferidas no texto consolidado do Conselho Federal.</w:t>
            </w:r>
          </w:p>
        </w:tc>
        <w:tc>
          <w:tcPr>
            <w:tcW w:type="dxa" w:w="1686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V3</w:t>
            </w:r>
          </w:p>
        </w:tc>
      </w:tr>
      <w:tr>
        <w:trPr>
          <w:cantSplit/>
        </w:trPr>
        <w:tc>
          <w:tcPr>
            <w:tcW w:type="dxa" w:w="267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Resolução CFO nº 198, de 29 de janeiro de 2019</w:t>
            </w:r>
          </w:p>
        </w:tc>
        <w:tc>
          <w:tcPr>
            <w:tcW w:type="dxa" w:w="470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Reconheceu a Harmonização Orofacial como especialidade odontológica e definiu as competências do especialista. Objeto da decisão judicial descrita no item 3.</w:t>
            </w:r>
          </w:p>
        </w:tc>
        <w:tc>
          <w:tcPr>
            <w:tcW w:type="dxa" w:w="1686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V2</w:t>
            </w:r>
          </w:p>
        </w:tc>
      </w:tr>
      <w:tr>
        <w:trPr>
          <w:cantSplit/>
        </w:trPr>
        <w:tc>
          <w:tcPr>
            <w:tcW w:type="dxa" w:w="267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Resolução CFO nº 230, de 2020</w:t>
            </w:r>
          </w:p>
        </w:tc>
        <w:tc>
          <w:tcPr>
            <w:tcW w:type="dxa" w:w="470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Regulamentou o disposto na Resolução CFO nº 198/2019 e estabeleceu vedações a procedimentos estéticos mais invasivos. Relação com o conjunto normativo de março de 2026 pendente de verificação, conforme item 4.</w:t>
            </w:r>
          </w:p>
        </w:tc>
        <w:tc>
          <w:tcPr>
            <w:tcW w:type="dxa" w:w="1686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V3</w:t>
            </w:r>
          </w:p>
        </w:tc>
      </w:tr>
      <w:tr>
        <w:trPr>
          <w:cantSplit/>
        </w:trPr>
        <w:tc>
          <w:tcPr>
            <w:tcW w:type="dxa" w:w="267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Resolução CFO nº 286, de 20 de março de 2026</w:t>
            </w:r>
          </w:p>
        </w:tc>
        <w:tc>
          <w:tcPr>
            <w:tcW w:type="dxa" w:w="470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Reconhece a Cirurgia Estética Orofacial como especialidade odontológica, define área de atuação, competências e parâmetros formativos. Prevê carga horária mínima de 3.000 horas em período mínimo de 36 meses, classifica os procedimentos por porte e vincula sua realização a ambientes compatíveis com a complexidade. Estabelece regras de transição para registro de especialistas já titulados.</w:t>
            </w:r>
          </w:p>
        </w:tc>
        <w:tc>
          <w:tcPr>
            <w:tcW w:type="dxa" w:w="1686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V1</w:t>
            </w:r>
          </w:p>
        </w:tc>
      </w:tr>
      <w:tr>
        <w:trPr>
          <w:cantSplit/>
        </w:trPr>
        <w:tc>
          <w:tcPr>
            <w:tcW w:type="dxa" w:w="267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Resoluções CFO nº 283, 284 e 285, de março de 2026</w:t>
            </w:r>
          </w:p>
        </w:tc>
        <w:tc>
          <w:tcPr>
            <w:tcW w:type="dxa" w:w="470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Integram o mesmo conjunto normativo de março de 2026. Registra-se que a Resolução nº 285 teria introduzido exceção expressa à vedação constante da Resolução nº 230. Conteúdo integral não verificado.</w:t>
            </w:r>
          </w:p>
        </w:tc>
        <w:tc>
          <w:tcPr>
            <w:tcW w:type="dxa" w:w="1686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V3</w:t>
            </w:r>
          </w:p>
        </w:tc>
      </w:tr>
      <w:tr>
        <w:trPr>
          <w:cantSplit/>
        </w:trPr>
        <w:tc>
          <w:tcPr>
            <w:tcW w:type="dxa" w:w="267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Resolução CFO nº 295, de 2026</w:t>
            </w:r>
          </w:p>
        </w:tc>
        <w:tc>
          <w:tcPr>
            <w:tcW w:type="dxa" w:w="470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Normatiza a prática da sedação no âmbito da Odontologia, com requisitos de habilitação e carga horária. Relevante porque parte dos procedimentos previstos na Resolução nº 286 é realizada sob sedação.</w:t>
            </w:r>
          </w:p>
        </w:tc>
        <w:tc>
          <w:tcPr>
            <w:tcW w:type="dxa" w:w="1686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V2</w:t>
            </w:r>
          </w:p>
        </w:tc>
      </w:tr>
    </w:tbl>
    <w:p>
      <w:r>
        <w:br w:type="page"/>
      </w: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3  Situação contenciosa da camada de exercício profissional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120" w:type="dxa"/>
          <w:left w:w="160" w:type="dxa"/>
          <w:bottom w:w="120" w:type="dxa"/>
          <w:right w:w="160" w:type="dxa"/>
        </w:tblCellMar>
        <w:tblBorders>
          <w:top w:val="single" w:sz="4" w:space="0" w:color="FBEDED"/>
          <w:bottom w:val="single" w:sz="4" w:space="0" w:color="FBEDED"/>
          <w:right w:val="single" w:sz="4" w:space="0" w:color="FBEDED"/>
          <w:insideH w:val="single" w:sz="4" w:space="0" w:color="FBEDED"/>
          <w:insideV w:val="single" w:sz="4" w:space="0" w:color="FBEDED"/>
          <w:left w:val="single" w:sz="24" w:space="0" w:color="8A1C1C"/>
        </w:tblBorders>
        <w:tblLayout w:type="fixed"/>
      </w:tblPr>
      <w:tblGrid>
        <w:gridCol w:w="9072"/>
      </w:tblGrid>
      <w:tr>
        <w:tc>
          <w:tcPr>
            <w:tcW w:type="dxa" w:w="9072"/>
            <w:shd w:val="clear" w:color="auto" w:fill="FBEDED"/>
          </w:tcPr>
          <w:p>
            <w:pPr>
              <w:spacing w:after="60"/>
              <w:jc w:val="left"/>
            </w:pPr>
            <w:r/>
            <w:r>
              <w:rPr>
                <w:rFonts w:ascii="Calibri" w:hAnsi="Calibri"/>
                <w:b/>
                <w:color w:val="143C64"/>
                <w:sz w:val="24"/>
              </w:rPr>
              <w:t>Fato de registro obrigatório</w:t>
            </w:r>
          </w:p>
          <w:p>
            <w:pPr>
              <w:spacing w:after="0"/>
              <w:jc w:val="both"/>
            </w:pPr>
            <w:r>
              <w:rPr>
                <w:rFonts w:ascii="Calibri" w:hAnsi="Calibri"/>
                <w:color w:val="1A1A1A"/>
                <w:sz w:val="24"/>
              </w:rPr>
              <w:t>Em 19 de agosto de 2026, a 8ª Turma do Tribunal Regional Federal da 1ª Região decidiu, por três votos a dois, pela anulação da Resolução CFO nº 198/2019, que reconheceu a Harmonização Orofacial como especialidade odontológica. Este fato é posterior à elaboração dos relatórios anteriores do Núcleo e altera materialmente o mapa normativo então vigente.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3557"/>
        <w:gridCol w:w="5515"/>
      </w:tblGrid>
      <w:tr>
        <w:trPr>
          <w:cantSplit/>
          <w:tblHeader/>
        </w:trPr>
        <w:tc>
          <w:tcPr>
            <w:tcW w:type="dxa" w:w="3557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Elemento</w:t>
            </w:r>
          </w:p>
        </w:tc>
        <w:tc>
          <w:tcPr>
            <w:tcW w:type="dxa" w:w="5515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Registro verificado</w:t>
            </w:r>
          </w:p>
        </w:tc>
      </w:tr>
      <w:tr>
        <w:trPr>
          <w:cantSplit/>
        </w:trPr>
        <w:tc>
          <w:tcPr>
            <w:tcW w:type="dxa" w:w="355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Processo</w:t>
            </w:r>
          </w:p>
        </w:tc>
        <w:tc>
          <w:tcPr>
            <w:tcW w:type="dxa" w:w="551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Nº 1003948-83.2019.4.01.3400, ajuizado em 2019.</w:t>
            </w:r>
          </w:p>
        </w:tc>
      </w:tr>
      <w:tr>
        <w:trPr>
          <w:cantSplit/>
        </w:trPr>
        <w:tc>
          <w:tcPr>
            <w:tcW w:type="dxa" w:w="355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Órgão julgador</w:t>
            </w:r>
          </w:p>
        </w:tc>
        <w:tc>
          <w:tcPr>
            <w:tcW w:type="dxa" w:w="551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8ª Turma do Tribunal Regional Federal da 1ª Região.</w:t>
            </w:r>
          </w:p>
        </w:tc>
      </w:tr>
      <w:tr>
        <w:trPr>
          <w:cantSplit/>
        </w:trPr>
        <w:tc>
          <w:tcPr>
            <w:tcW w:type="dxa" w:w="355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Data do julgamento</w:t>
            </w:r>
          </w:p>
        </w:tc>
        <w:tc>
          <w:tcPr>
            <w:tcW w:type="dxa" w:w="551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19 de agosto de 2026.</w:t>
            </w:r>
          </w:p>
        </w:tc>
      </w:tr>
      <w:tr>
        <w:trPr>
          <w:cantSplit/>
        </w:trPr>
        <w:tc>
          <w:tcPr>
            <w:tcW w:type="dxa" w:w="355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Resultado</w:t>
            </w:r>
          </w:p>
        </w:tc>
        <w:tc>
          <w:tcPr>
            <w:tcW w:type="dxa" w:w="551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Anulação da Resolução CFO nº 198/2019, por maioria de três votos a dois.</w:t>
            </w:r>
          </w:p>
        </w:tc>
      </w:tr>
      <w:tr>
        <w:trPr>
          <w:cantSplit/>
        </w:trPr>
        <w:tc>
          <w:tcPr>
            <w:tcW w:type="dxa" w:w="355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Fundamento noticiado</w:t>
            </w:r>
          </w:p>
        </w:tc>
        <w:tc>
          <w:tcPr>
            <w:tcW w:type="dxa" w:w="551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Entendimento de que o Conselho Federal de Odontologia teria excedido os limites de sua competência ao ampliar, por resolução própria, atribuições cujo estabelecimento caberia a legislação federal.</w:t>
            </w:r>
          </w:p>
        </w:tc>
      </w:tr>
      <w:tr>
        <w:trPr>
          <w:cantSplit/>
        </w:trPr>
        <w:tc>
          <w:tcPr>
            <w:tcW w:type="dxa" w:w="355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Recorrentes</w:t>
            </w:r>
          </w:p>
        </w:tc>
        <w:tc>
          <w:tcPr>
            <w:tcW w:type="dxa" w:w="551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Conselho Federal de Medicina e Sociedade Brasileira de Dermatologia.</w:t>
            </w:r>
          </w:p>
        </w:tc>
      </w:tr>
      <w:tr>
        <w:trPr>
          <w:cantSplit/>
        </w:trPr>
        <w:tc>
          <w:tcPr>
            <w:tcW w:type="dxa" w:w="355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Histórico do processo</w:t>
            </w:r>
          </w:p>
        </w:tc>
        <w:tc>
          <w:tcPr>
            <w:tcW w:type="dxa" w:w="551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Em 2022, a primeira instância julgou improcedente o pedido de anulação. Em sessão de novembro de 2024, dois desembargadores votaram pela manutenção da norma, e o julgamento foi interrompido por pedido de vista. O julgamento foi retomado e concluído em agosto de 2026.</w:t>
            </w:r>
          </w:p>
        </w:tc>
      </w:tr>
      <w:tr>
        <w:trPr>
          <w:cantSplit/>
        </w:trPr>
        <w:tc>
          <w:tcPr>
            <w:tcW w:type="dxa" w:w="355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Eficácia</w:t>
            </w:r>
          </w:p>
        </w:tc>
        <w:tc>
          <w:tcPr>
            <w:tcW w:type="dxa" w:w="551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 decisão produz efeitos a partir da publicação do acórdão. Até 25 de agosto de 2026 não havia registro localizado de publicação do acórdão.</w:t>
            </w:r>
          </w:p>
        </w:tc>
      </w:tr>
      <w:tr>
        <w:trPr>
          <w:cantSplit/>
        </w:trPr>
        <w:tc>
          <w:tcPr>
            <w:tcW w:type="dxa" w:w="355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Recursos</w:t>
            </w:r>
          </w:p>
        </w:tc>
        <w:tc>
          <w:tcPr>
            <w:tcW w:type="dxa" w:w="551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Cabe recurso. O Conselho Federal de Odontologia manifestou publicamente discordância e informou que adotará as medidas judiciais cabíveis.</w:t>
            </w:r>
          </w:p>
        </w:tc>
      </w:tr>
      <w:tr>
        <w:trPr>
          <w:cantSplit/>
        </w:trPr>
        <w:tc>
          <w:tcPr>
            <w:tcW w:type="dxa" w:w="355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Orientação do CFO aos profissionais</w:t>
            </w:r>
          </w:p>
        </w:tc>
        <w:tc>
          <w:tcPr>
            <w:tcW w:type="dxa" w:w="551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O Conselho Federal de Odontologia informou que, naquele momento, não há alteração nas atribuições dos cirurgiões-dentistas, e que a atuação pode ser mantida nos procedimentos integrantes de sua área legal de competência, observados os limites da legislação, da formação profissional e das normas aplicáveis.</w:t>
            </w:r>
          </w:p>
        </w:tc>
      </w:tr>
    </w:tbl>
    <w:p>
      <w:pPr>
        <w:spacing w:after="80"/>
      </w:pPr>
    </w:p>
    <w:p>
      <w:pPr>
        <w:keepNext/>
        <w:spacing w:before="240" w:after="80"/>
        <w:jc w:val="left"/>
      </w:pPr>
      <w:r>
        <w:rPr>
          <w:rFonts w:ascii="Calibri" w:hAnsi="Calibri"/>
          <w:b/>
          <w:color w:val="143C64"/>
          <w:sz w:val="26"/>
        </w:rPr>
        <w:t>3.1  Consequências para o trabalho do Núcleo 5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O Núcleo 5 é órgão técnico-consultivo e não se manifesta sobre o mérito da controvérsia judicial, que envolve conselhos federais e entidades nacionais e transcende a competência de um núcleo de câmara técnica regional. As consequências abaixo são operacionais, e não opinativas.</w:t>
      </w:r>
    </w:p>
    <w:p>
      <w:pPr>
        <w:pStyle w:val="ListNumber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Nenhum produto do ciclo deve fundamentar competência profissional exclusivamente na Resolução CFO nº 198/2019 sem registrar a situação processual e a data da consulta.</w:t>
      </w:r>
    </w:p>
    <w:p>
      <w:pPr>
        <w:pStyle w:val="ListNumber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Os produtos do Núcleo devem ser redigidos de modo a permanecerem úteis independentemente do desfecho judicial. Segurança clínica, rastreabilidade documental, conformidade sanitária do estabelecimento, regularização de produto e manejo de intercorrência não dependem da qualificação da atividade como especialidade.</w:t>
      </w:r>
    </w:p>
    <w:p>
      <w:pPr>
        <w:pStyle w:val="ListNumber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A Dimensão 6 da Grade de Avaliação Tecnológica passa a exigir registro da situação processual verificada, conforme já previsto no documento N5-INST-02.</w:t>
      </w:r>
    </w:p>
    <w:p>
      <w:pPr>
        <w:pStyle w:val="ListNumber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Recomenda-se que o Núcleo 5 comunique formalmente a Diretoria Executiva sobre o impacto do fato no plano de trabalho, para que eventual orientação institucional seja tomada no nível competente, que não é o do Núcleo.</w:t>
      </w:r>
    </w:p>
    <w:p>
      <w:pPr>
        <w:pStyle w:val="ListNumber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Recomenda-se monitoramento da publicação do acórdão e do processamento de recursos, com reconferência mensal registrada em ata até o encerramento do ciclo.</w:t>
      </w:r>
    </w:p>
    <w:p>
      <w:r>
        <w:br w:type="page"/>
      </w: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4  Pendências de verificação em fonte primária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As questões abaixo foram identificadas durante a consolidação e não puderam ser resolvidas com o grau de segurança exigido. São registradas como pendências, e não preenchidas por inferência. Sua resolução exige leitura do texto oficial dos atos e, quando necessário, consulta formal ao Conselho Federal de Odontologia.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939"/>
        <w:gridCol w:w="4104"/>
        <w:gridCol w:w="4029"/>
      </w:tblGrid>
      <w:tr>
        <w:trPr>
          <w:cantSplit/>
          <w:tblHeader/>
        </w:trPr>
        <w:tc>
          <w:tcPr>
            <w:tcW w:type="dxa" w:w="939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Nº</w:t>
            </w:r>
          </w:p>
        </w:tc>
        <w:tc>
          <w:tcPr>
            <w:tcW w:type="dxa" w:w="4104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Pendência</w:t>
            </w:r>
          </w:p>
        </w:tc>
        <w:tc>
          <w:tcPr>
            <w:tcW w:type="dxa" w:w="4029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Encaminhamento proposto</w:t>
            </w:r>
          </w:p>
        </w:tc>
      </w:tr>
      <w:tr>
        <w:trPr>
          <w:cantSplit/>
        </w:trPr>
        <w:tc>
          <w:tcPr>
            <w:tcW w:type="dxa" w:w="93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P1</w:t>
            </w:r>
          </w:p>
        </w:tc>
        <w:tc>
          <w:tcPr>
            <w:tcW w:type="dxa" w:w="410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Situação atual da Resolução CFO nº 230/2020. Há divergência entre fontes secundárias: algumas indicam que a Resolução nº 286/2026 a teria revogado; outras descrevem que a Resolução nº 285/2026 teria introduzido exceção expressa às suas vedações, o que pressupõe vigência.</w:t>
            </w:r>
          </w:p>
        </w:tc>
        <w:tc>
          <w:tcPr>
            <w:tcW w:type="dxa" w:w="402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Leitura das cláusulas de revogação dos atos de março de 2026 no texto oficial, e consulta formal ao Conselho Federal de Odontologia em caso de persistência da dúvida.</w:t>
            </w:r>
          </w:p>
        </w:tc>
      </w:tr>
      <w:tr>
        <w:trPr>
          <w:cantSplit/>
        </w:trPr>
        <w:tc>
          <w:tcPr>
            <w:tcW w:type="dxa" w:w="93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P2</w:t>
            </w:r>
          </w:p>
        </w:tc>
        <w:tc>
          <w:tcPr>
            <w:tcW w:type="dxa" w:w="410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Conteúdo integral das Resoluções CFO nº 283, 284 e 285, de março de 2026, e sua articulação com as especialidades de Harmonização Orofacial e de Cirurgia Estética Orofacial.</w:t>
            </w:r>
          </w:p>
        </w:tc>
        <w:tc>
          <w:tcPr>
            <w:tcW w:type="dxa" w:w="402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Obtenção do texto oficial dos três atos e elaboração de quadro comparativo de competências.</w:t>
            </w:r>
          </w:p>
        </w:tc>
      </w:tr>
      <w:tr>
        <w:trPr>
          <w:cantSplit/>
        </w:trPr>
        <w:tc>
          <w:tcPr>
            <w:tcW w:type="dxa" w:w="93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P3</w:t>
            </w:r>
          </w:p>
        </w:tc>
        <w:tc>
          <w:tcPr>
            <w:tcW w:type="dxa" w:w="410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Texto consolidado e vigente do Código de Ética Odontológica, considerando alterações posteriores à Resolução CFO nº 118/2012.</w:t>
            </w:r>
          </w:p>
        </w:tc>
        <w:tc>
          <w:tcPr>
            <w:tcW w:type="dxa" w:w="402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Consulta ao repositório de atos do Conselho Federal de Odontologia.</w:t>
            </w:r>
          </w:p>
        </w:tc>
      </w:tr>
      <w:tr>
        <w:trPr>
          <w:cantSplit/>
        </w:trPr>
        <w:tc>
          <w:tcPr>
            <w:tcW w:type="dxa" w:w="93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P4</w:t>
            </w:r>
          </w:p>
        </w:tc>
        <w:tc>
          <w:tcPr>
            <w:tcW w:type="dxa" w:w="410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Efeito da decisão do TRF1 sobre a Resolução nº 286/2026 e sobre os registros de especialidade já concedidos.</w:t>
            </w:r>
          </w:p>
        </w:tc>
        <w:tc>
          <w:tcPr>
            <w:tcW w:type="dxa" w:w="402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Aguardar publicação do acórdão e eventual manifestação institucional do Conselho Federal, sem antecipação interpretativa pelo Núcleo.</w:t>
            </w:r>
          </w:p>
        </w:tc>
      </w:tr>
      <w:tr>
        <w:trPr>
          <w:cantSplit/>
        </w:trPr>
        <w:tc>
          <w:tcPr>
            <w:tcW w:type="dxa" w:w="93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P5</w:t>
            </w:r>
          </w:p>
        </w:tc>
        <w:tc>
          <w:tcPr>
            <w:tcW w:type="dxa" w:w="410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Exigências estaduais e municipais de vigilância sanitária aplicáveis em Minas Gerais, incluindo periodicidade de laudos, calibração, roteiros de inspeção e regras de armazenamento.</w:t>
            </w:r>
          </w:p>
        </w:tc>
        <w:tc>
          <w:tcPr>
            <w:tcW w:type="dxa" w:w="402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Consulta formal à Vigilância Sanitária Estadual, protocolada via Diretoria Executiva, conforme documento N5-OFIC-01.</w:t>
            </w:r>
          </w:p>
        </w:tc>
      </w:tr>
    </w:tbl>
    <w:p>
      <w:r>
        <w:br w:type="page"/>
      </w: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5  Camada 2. Regularização do produto e do equipamento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Incide sobre a tecnologia. Responde à pergunta sobre o que torna regular o produto que se pretende utilizar, e não sobre quem pode utilizá-lo.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642"/>
        <w:gridCol w:w="4528"/>
        <w:gridCol w:w="1902"/>
      </w:tblGrid>
      <w:tr>
        <w:trPr>
          <w:cantSplit/>
          <w:tblHeader/>
        </w:trPr>
        <w:tc>
          <w:tcPr>
            <w:tcW w:type="dxa" w:w="2642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Ato</w:t>
            </w:r>
          </w:p>
        </w:tc>
        <w:tc>
          <w:tcPr>
            <w:tcW w:type="dxa" w:w="4528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Objeto</w:t>
            </w:r>
          </w:p>
        </w:tc>
        <w:tc>
          <w:tcPr>
            <w:tcW w:type="dxa" w:w="1902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Verif.</w:t>
            </w:r>
          </w:p>
        </w:tc>
      </w:tr>
      <w:tr>
        <w:trPr>
          <w:cantSplit/>
        </w:trPr>
        <w:tc>
          <w:tcPr>
            <w:tcW w:type="dxa" w:w="264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RDC Anvisa nº 751, de 15 de setembro de 2022</w:t>
            </w:r>
          </w:p>
        </w:tc>
        <w:tc>
          <w:tcPr>
            <w:tcW w:type="dxa" w:w="452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Classificação de risco, regimes de notificação e de registro e requisitos de rotulagem e instruções de uso de dispositivos médicos. Vigência a partir de 1º de março de 2023. É a norma que define o que se verifica ao consultar a situação de um produto.</w:t>
            </w:r>
          </w:p>
        </w:tc>
        <w:tc>
          <w:tcPr>
            <w:tcW w:type="dxa" w:w="190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V2</w:t>
            </w:r>
          </w:p>
        </w:tc>
      </w:tr>
      <w:tr>
        <w:trPr>
          <w:cantSplit/>
        </w:trPr>
        <w:tc>
          <w:tcPr>
            <w:tcW w:type="dxa" w:w="264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RDC Anvisa nº 549, de 30 de agosto de 2021</w:t>
            </w:r>
          </w:p>
        </w:tc>
        <w:tc>
          <w:tcPr>
            <w:tcW w:type="dxa" w:w="452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Certificação de conformidade de equipamentos sob regime de vigilância sanitária.</w:t>
            </w:r>
          </w:p>
        </w:tc>
        <w:tc>
          <w:tcPr>
            <w:tcW w:type="dxa" w:w="190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V2</w:t>
            </w:r>
          </w:p>
        </w:tc>
      </w:tr>
      <w:tr>
        <w:trPr>
          <w:cantSplit/>
        </w:trPr>
        <w:tc>
          <w:tcPr>
            <w:tcW w:type="dxa" w:w="264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Portaria Inmetro nº 384, de 18 de dezembro de 2020, alterada pela Portaria nº 254, de 29 de junho de 2021</w:t>
            </w:r>
          </w:p>
        </w:tc>
        <w:tc>
          <w:tcPr>
            <w:tcW w:type="dxa" w:w="452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Requisitos de avaliação da conformidade de equipamentos eletromédicos, atestados por Organismo de Certificação de Produto acreditado.</w:t>
            </w:r>
          </w:p>
        </w:tc>
        <w:tc>
          <w:tcPr>
            <w:tcW w:type="dxa" w:w="190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V2</w:t>
            </w:r>
          </w:p>
        </w:tc>
      </w:tr>
      <w:tr>
        <w:trPr>
          <w:cantSplit/>
        </w:trPr>
        <w:tc>
          <w:tcPr>
            <w:tcW w:type="dxa" w:w="264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Família ABNT NBR IEC 60601</w:t>
            </w:r>
          </w:p>
        </w:tc>
        <w:tc>
          <w:tcPr>
            <w:tcW w:type="dxa" w:w="452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Normas técnicas de segurança elétrica, compatibilidade eletromagnética e desempenho essencial de equipamentos eletromédicos. Referência técnica invocada pela certificação.</w:t>
            </w:r>
          </w:p>
        </w:tc>
        <w:tc>
          <w:tcPr>
            <w:tcW w:type="dxa" w:w="190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V2</w:t>
            </w:r>
          </w:p>
        </w:tc>
      </w:tr>
    </w:tbl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6  Camada 3. Funcionamento do estabelecimento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Incide sobre o serviço, e não sobre o produto nem sobre o profissional. É a camada mais frequentemente desconhecida e a que sofreu alteração relevante em dezembro de 2025.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572"/>
        <w:gridCol w:w="4636"/>
        <w:gridCol w:w="1864"/>
      </w:tblGrid>
      <w:tr>
        <w:trPr>
          <w:cantSplit/>
          <w:tblHeader/>
        </w:trPr>
        <w:tc>
          <w:tcPr>
            <w:tcW w:type="dxa" w:w="2572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Ato</w:t>
            </w:r>
          </w:p>
        </w:tc>
        <w:tc>
          <w:tcPr>
            <w:tcW w:type="dxa" w:w="4636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Objeto</w:t>
            </w:r>
          </w:p>
        </w:tc>
        <w:tc>
          <w:tcPr>
            <w:tcW w:type="dxa" w:w="1864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Verif.</w:t>
            </w:r>
          </w:p>
        </w:tc>
      </w:tr>
      <w:tr>
        <w:trPr>
          <w:cantSplit/>
        </w:trPr>
        <w:tc>
          <w:tcPr>
            <w:tcW w:type="dxa" w:w="257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RDC Anvisa nº 1.002, de 15 de dezembro de 2025</w:t>
            </w:r>
          </w:p>
        </w:tc>
        <w:tc>
          <w:tcPr>
            <w:tcW w:type="dxa" w:w="4636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Boas Práticas de Funcionamento para serviços que prestam assistência odontológica. Primeira norma nacional específica do setor. Aplica-se a serviços públicos, privados, filantrópicos, civis e militares, a unidades fixas, móveis e portáteis, a laboratórios de prótese e a estabelecimentos de ensino e pesquisa. Atribui ao Responsável Técnico o dever de elaborar e implementar Série de Documentos de Boas Práticas de Funcionamento, contendo rotinas, protocolos técnicos padronizados, Procedimentos Operacionais Padrão e planos do serviço. Prazo de adequação de 360 dias contados da publicação.</w:t>
            </w:r>
          </w:p>
        </w:tc>
        <w:tc>
          <w:tcPr>
            <w:tcW w:type="dxa" w:w="18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V1</w:t>
            </w:r>
          </w:p>
        </w:tc>
      </w:tr>
      <w:tr>
        <w:trPr>
          <w:cantSplit/>
        </w:trPr>
        <w:tc>
          <w:tcPr>
            <w:tcW w:type="dxa" w:w="257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RDC Anvisa nº 63, de 25 de novembro de 2011</w:t>
            </w:r>
          </w:p>
        </w:tc>
        <w:tc>
          <w:tcPr>
            <w:tcW w:type="dxa" w:w="4636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Boas Práticas de Funcionamento para os serviços de saúde. Permanece exigível de forma cumulativa, por remissão expressa da RDC nº 1.002/2025.</w:t>
            </w:r>
          </w:p>
        </w:tc>
        <w:tc>
          <w:tcPr>
            <w:tcW w:type="dxa" w:w="186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V1</w:t>
            </w:r>
          </w:p>
        </w:tc>
      </w:tr>
      <w:tr>
        <w:trPr>
          <w:cantSplit/>
        </w:trPr>
        <w:tc>
          <w:tcPr>
            <w:tcW w:type="dxa" w:w="257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RDC Anvisa nº 509, de 27 de maio de 2021</w:t>
            </w:r>
          </w:p>
        </w:tc>
        <w:tc>
          <w:tcPr>
            <w:tcW w:type="dxa" w:w="4636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Gerenciamento de tecnologias em saúde em estabelecimentos de saúde. Revogou a RDC nº 2/2010 e a RDC nº 20/2012. Vigência a partir de 1º de julho de 2021. Alcança aquisição, manutenção, rastreabilidade e notificação de eventos adversos.</w:t>
            </w:r>
          </w:p>
        </w:tc>
        <w:tc>
          <w:tcPr>
            <w:tcW w:type="dxa" w:w="18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V2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120" w:type="dxa"/>
          <w:left w:w="160" w:type="dxa"/>
          <w:bottom w:w="120" w:type="dxa"/>
          <w:right w:w="160" w:type="dxa"/>
        </w:tblCellMar>
        <w:tblBorders>
          <w:top w:val="single" w:sz="4" w:space="0" w:color="EAF0F6"/>
          <w:bottom w:val="single" w:sz="4" w:space="0" w:color="EAF0F6"/>
          <w:right w:val="single" w:sz="4" w:space="0" w:color="EAF0F6"/>
          <w:insideH w:val="single" w:sz="4" w:space="0" w:color="EAF0F6"/>
          <w:insideV w:val="single" w:sz="4" w:space="0" w:color="EAF0F6"/>
          <w:left w:val="single" w:sz="24" w:space="0" w:color="143C64"/>
        </w:tblBorders>
        <w:tblLayout w:type="fixed"/>
      </w:tblPr>
      <w:tblGrid>
        <w:gridCol w:w="9072"/>
      </w:tblGrid>
      <w:tr>
        <w:tc>
          <w:tcPr>
            <w:tcW w:type="dxa" w:w="9072"/>
            <w:shd w:val="clear" w:color="auto" w:fill="EAF0F6"/>
          </w:tcPr>
          <w:p>
            <w:pPr>
              <w:spacing w:after="60"/>
              <w:jc w:val="left"/>
            </w:pPr>
            <w:r/>
            <w:r>
              <w:rPr>
                <w:rFonts w:ascii="Calibri" w:hAnsi="Calibri"/>
                <w:b/>
                <w:color w:val="143C64"/>
                <w:sz w:val="24"/>
              </w:rPr>
              <w:t>Prazo com consequência direta sobre o ciclo 2026</w:t>
            </w:r>
          </w:p>
          <w:p>
            <w:pPr>
              <w:spacing w:after="0"/>
              <w:jc w:val="both"/>
            </w:pPr>
            <w:r>
              <w:rPr>
                <w:rFonts w:ascii="Calibri" w:hAnsi="Calibri"/>
                <w:color w:val="1A1A1A"/>
                <w:sz w:val="24"/>
              </w:rPr>
              <w:t>O prazo de adequação da RDC nº 1.002/2025 encerra-se em dezembro de 2026, mês previsto para a entrega dos produtos do Núcleo. A coincidência favorece a utilidade dos POPs e do Manual de Boas Práticas, que alcançam os inscritos no momento em que a adequação sanitária se torna exigível. Recomenda-se que essa articulação seja explicitada na apresentação final à Diretoria Executiva.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7  Camada 4. Proteção de dados e uso de imagem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280"/>
        <w:gridCol w:w="4965"/>
        <w:gridCol w:w="1827"/>
      </w:tblGrid>
      <w:tr>
        <w:trPr>
          <w:cantSplit/>
          <w:tblHeader/>
        </w:trPr>
        <w:tc>
          <w:tcPr>
            <w:tcW w:type="dxa" w:w="2280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Ato</w:t>
            </w:r>
          </w:p>
        </w:tc>
        <w:tc>
          <w:tcPr>
            <w:tcW w:type="dxa" w:w="4965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Objeto</w:t>
            </w:r>
          </w:p>
        </w:tc>
        <w:tc>
          <w:tcPr>
            <w:tcW w:type="dxa" w:w="1827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Verif.</w:t>
            </w:r>
          </w:p>
        </w:tc>
      </w:tr>
      <w:tr>
        <w:trPr>
          <w:cantSplit/>
        </w:trPr>
        <w:tc>
          <w:tcPr>
            <w:tcW w:type="dxa" w:w="2280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Lei nº 13.709, de 14 de agosto de 2018</w:t>
            </w:r>
          </w:p>
        </w:tc>
        <w:tc>
          <w:tcPr>
            <w:tcW w:type="dxa" w:w="496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Lei Geral de Proteção de Dados Pessoais. Dados de saúde são dados pessoais sensíveis. Alcança prontuário, fotografia clínica, imagens diagnósticas, registros em nuvem e eventual uso de ferramentas de inteligência artificial que processem dados de paciente.</w:t>
            </w:r>
          </w:p>
        </w:tc>
        <w:tc>
          <w:tcPr>
            <w:tcW w:type="dxa" w:w="182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V2</w:t>
            </w:r>
          </w:p>
        </w:tc>
      </w:tr>
      <w:tr>
        <w:trPr>
          <w:cantSplit/>
        </w:trPr>
        <w:tc>
          <w:tcPr>
            <w:tcW w:type="dxa" w:w="2280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Lei nº 15.378, de 6 de abril de 2026</w:t>
            </w:r>
          </w:p>
        </w:tc>
        <w:tc>
          <w:tcPr>
            <w:tcW w:type="dxa" w:w="496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Estatuto dos Direitos do Paciente. Reforça confidencialidade, inclusive após o falecimento, e assegura acesso do paciente ao prontuário sem exigência de justificativa.</w:t>
            </w:r>
          </w:p>
        </w:tc>
        <w:tc>
          <w:tcPr>
            <w:tcW w:type="dxa" w:w="182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V1</w:t>
            </w:r>
          </w:p>
        </w:tc>
      </w:tr>
    </w:tbl>
    <w:p>
      <w:pPr>
        <w:spacing w:after="80"/>
      </w:pP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A articulação entre as duas normas tem efeito prático sobre a documentação clínica em harmonização orofacial: a fotografia padronizada, o registro de lote e parâmetros e o termo de consentimento deixam de ser apenas boa prática defensiva e passam a integrar um conjunto de deveres com fundamento legal expresso.</w:t>
      </w: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8  Camada 5. Exigências estaduais e municipais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Diversas exigências práticas de vigilância sanitária, incluindo periodicidade de laudos, calibração, roteiros de inspeção e regras de armazenamento, são fixadas por instrumentos estaduais e municipais e variam entre os municípios de Minas Gerais.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120" w:type="dxa"/>
          <w:left w:w="160" w:type="dxa"/>
          <w:bottom w:w="120" w:type="dxa"/>
          <w:right w:w="160" w:type="dxa"/>
        </w:tblCellMar>
        <w:tblBorders>
          <w:top w:val="single" w:sz="4" w:space="0" w:color="FDF4E6"/>
          <w:bottom w:val="single" w:sz="4" w:space="0" w:color="FDF4E6"/>
          <w:right w:val="single" w:sz="4" w:space="0" w:color="FDF4E6"/>
          <w:insideH w:val="single" w:sz="4" w:space="0" w:color="FDF4E6"/>
          <w:insideV w:val="single" w:sz="4" w:space="0" w:color="FDF4E6"/>
          <w:left w:val="single" w:sz="24" w:space="0" w:color="A66A00"/>
        </w:tblBorders>
        <w:tblLayout w:type="fixed"/>
      </w:tblPr>
      <w:tblGrid>
        <w:gridCol w:w="9072"/>
      </w:tblGrid>
      <w:tr>
        <w:tc>
          <w:tcPr>
            <w:tcW w:type="dxa" w:w="9072"/>
            <w:shd w:val="clear" w:color="auto" w:fill="FDF4E6"/>
          </w:tcPr>
          <w:p>
            <w:pPr>
              <w:spacing w:after="60"/>
              <w:jc w:val="left"/>
            </w:pPr>
            <w:r/>
            <w:r>
              <w:rPr>
                <w:rFonts w:ascii="Calibri" w:hAnsi="Calibri"/>
                <w:b/>
                <w:color w:val="143C64"/>
                <w:sz w:val="24"/>
              </w:rPr>
              <w:t>Lacuna declarada</w:t>
            </w:r>
          </w:p>
          <w:p>
            <w:pPr>
              <w:spacing w:after="0"/>
              <w:jc w:val="both"/>
            </w:pPr>
            <w:r>
              <w:rPr>
                <w:rFonts w:ascii="Calibri" w:hAnsi="Calibri"/>
                <w:color w:val="1A1A1A"/>
                <w:sz w:val="24"/>
              </w:rPr>
              <w:t>O Núcleo 5 não dispõe de base consolidada da camada estadual e municipal aplicável em Minas Gerais. Esta lacuna não é preenchida por inferência a partir da norma federal. Sua consolidação depende de resposta à consulta formal objeto do documento N5-OFIC-01, protocolada por intermédio da Diretoria Executiva do CRO-MG. Até que haja resposta, todo produto do Núcleo que trate de exigências locais deve registrar expressamente que a camada estadual não está consolidada.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9  Roteiro de verificação aplicável a uma tecnologia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O roteiro converte o mapa em procedimento. É a sequência mínima de conferência antes de qualquer manifestação técnica do Núcleo sobre uma tecnologia, e serve igualmente como orientação de conformidade para o serviço.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711"/>
        <w:gridCol w:w="3082"/>
        <w:gridCol w:w="3279"/>
      </w:tblGrid>
      <w:tr>
        <w:trPr>
          <w:cantSplit/>
          <w:tblHeader/>
        </w:trPr>
        <w:tc>
          <w:tcPr>
            <w:tcW w:type="dxa" w:w="2711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Etapa</w:t>
            </w:r>
          </w:p>
        </w:tc>
        <w:tc>
          <w:tcPr>
            <w:tcW w:type="dxa" w:w="3082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Base a consultar</w:t>
            </w:r>
          </w:p>
        </w:tc>
        <w:tc>
          <w:tcPr>
            <w:tcW w:type="dxa" w:w="3279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O que verificar</w:t>
            </w:r>
          </w:p>
        </w:tc>
      </w:tr>
      <w:tr>
        <w:trPr>
          <w:cantSplit/>
        </w:trPr>
        <w:tc>
          <w:tcPr>
            <w:tcW w:type="dxa" w:w="271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1. Regularização do produto</w:t>
            </w:r>
          </w:p>
        </w:tc>
        <w:tc>
          <w:tcPr>
            <w:tcW w:type="dxa" w:w="308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Consultas de produtos para saúde no portal da Anvisa</w:t>
            </w:r>
          </w:p>
        </w:tc>
        <w:tc>
          <w:tcPr>
            <w:tcW w:type="dxa" w:w="327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Existência e validade do registro ou notificação, detentor, denominação e, sobretudo, a indicação de uso aprovada.</w:t>
            </w:r>
          </w:p>
        </w:tc>
      </w:tr>
      <w:tr>
        <w:trPr>
          <w:cantSplit/>
        </w:trPr>
        <w:tc>
          <w:tcPr>
            <w:tcW w:type="dxa" w:w="271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2. Instruções de uso</w:t>
            </w:r>
          </w:p>
        </w:tc>
        <w:tc>
          <w:tcPr>
            <w:tcW w:type="dxa" w:w="308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Bula ou instruções de uso vinculadas ao registro</w:t>
            </w:r>
          </w:p>
        </w:tc>
        <w:tc>
          <w:tcPr>
            <w:tcW w:type="dxa" w:w="327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Indicação, contraindicação, região anatômica prevista, técnica e advertências. É este documento que delimita uso conforme e uso fora da indicação aprovada.</w:t>
            </w:r>
          </w:p>
        </w:tc>
      </w:tr>
      <w:tr>
        <w:trPr>
          <w:cantSplit/>
        </w:trPr>
        <w:tc>
          <w:tcPr>
            <w:tcW w:type="dxa" w:w="271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3. Certificação do equipamento</w:t>
            </w:r>
          </w:p>
        </w:tc>
        <w:tc>
          <w:tcPr>
            <w:tcW w:type="dxa" w:w="308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Registro Geral de Objetos do Inmetro e certificado emitido por Organismo de Certificação de Produto acreditado</w:t>
            </w:r>
          </w:p>
        </w:tc>
        <w:tc>
          <w:tcPr>
            <w:tcW w:type="dxa" w:w="327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Vigência do certificado, escopo e norma técnica de referência.</w:t>
            </w:r>
          </w:p>
        </w:tc>
      </w:tr>
      <w:tr>
        <w:trPr>
          <w:cantSplit/>
        </w:trPr>
        <w:tc>
          <w:tcPr>
            <w:tcW w:type="dxa" w:w="271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4. Alertas e recolhimentos</w:t>
            </w:r>
          </w:p>
        </w:tc>
        <w:tc>
          <w:tcPr>
            <w:tcW w:type="dxa" w:w="308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Alertas de tecnovigilância da Anvisa</w:t>
            </w:r>
          </w:p>
        </w:tc>
        <w:tc>
          <w:tcPr>
            <w:tcW w:type="dxa" w:w="327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Existência de alerta, interdição cautelar ou recolhimento envolvendo o produto ou o lote.</w:t>
            </w:r>
          </w:p>
        </w:tc>
      </w:tr>
      <w:tr>
        <w:trPr>
          <w:cantSplit/>
        </w:trPr>
        <w:tc>
          <w:tcPr>
            <w:tcW w:type="dxa" w:w="271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5. Canal de notificação</w:t>
            </w:r>
          </w:p>
        </w:tc>
        <w:tc>
          <w:tcPr>
            <w:tcW w:type="dxa" w:w="308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Sistema nacional de notificações em vigilância sanitária</w:t>
            </w:r>
          </w:p>
        </w:tc>
        <w:tc>
          <w:tcPr>
            <w:tcW w:type="dxa" w:w="327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Via de cumprimento do dever de notificar evento adverso, previsto na RDC nº 509/2021.</w:t>
            </w:r>
          </w:p>
        </w:tc>
      </w:tr>
      <w:tr>
        <w:trPr>
          <w:cantSplit/>
        </w:trPr>
        <w:tc>
          <w:tcPr>
            <w:tcW w:type="dxa" w:w="271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6. Escopo profissional</w:t>
            </w:r>
          </w:p>
        </w:tc>
        <w:tc>
          <w:tcPr>
            <w:tcW w:type="dxa" w:w="308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Camada 1 deste mapa e item 3</w:t>
            </w:r>
          </w:p>
        </w:tc>
        <w:tc>
          <w:tcPr>
            <w:tcW w:type="dxa" w:w="327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Norma que sustenta a competência, sua vigência e a situação processual verificada, com registro da data da consulta.</w:t>
            </w:r>
          </w:p>
        </w:tc>
      </w:tr>
      <w:tr>
        <w:trPr>
          <w:cantSplit/>
        </w:trPr>
        <w:tc>
          <w:tcPr>
            <w:tcW w:type="dxa" w:w="271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7. Conformidade do serviço</w:t>
            </w:r>
          </w:p>
        </w:tc>
        <w:tc>
          <w:tcPr>
            <w:tcW w:type="dxa" w:w="308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RDC nº 1.002/2025, RDC nº 63/2011 e RDC nº 509/2021</w:t>
            </w:r>
          </w:p>
        </w:tc>
        <w:tc>
          <w:tcPr>
            <w:tcW w:type="dxa" w:w="327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Existência da Série de Documentos de Boas Práticas, POP correspondente e registros de manutenção e rastreabilidade.</w:t>
            </w:r>
          </w:p>
        </w:tc>
      </w:tr>
      <w:tr>
        <w:trPr>
          <w:cantSplit/>
        </w:trPr>
        <w:tc>
          <w:tcPr>
            <w:tcW w:type="dxa" w:w="271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8. Dados e imagem</w:t>
            </w:r>
          </w:p>
        </w:tc>
        <w:tc>
          <w:tcPr>
            <w:tcW w:type="dxa" w:w="308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Lei nº 13.709/2018 e Lei nº 15.378/2026</w:t>
            </w:r>
          </w:p>
        </w:tc>
        <w:tc>
          <w:tcPr>
            <w:tcW w:type="dxa" w:w="327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Base legal do tratamento, consentimento específico para uso de imagem, controle de acesso e política de retenção.</w:t>
            </w:r>
          </w:p>
        </w:tc>
      </w:tr>
    </w:tbl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10  Regra de revisão deste documento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5209"/>
        <w:gridCol w:w="3863"/>
      </w:tblGrid>
      <w:tr>
        <w:trPr>
          <w:cantSplit/>
          <w:tblHeader/>
        </w:trPr>
        <w:tc>
          <w:tcPr>
            <w:tcW w:type="dxa" w:w="5209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Situação</w:t>
            </w:r>
          </w:p>
        </w:tc>
        <w:tc>
          <w:tcPr>
            <w:tcW w:type="dxa" w:w="3863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Providência</w:t>
            </w:r>
          </w:p>
        </w:tc>
      </w:tr>
      <w:tr>
        <w:trPr>
          <w:cantSplit/>
        </w:trPr>
        <w:tc>
          <w:tcPr>
            <w:tcW w:type="dxa" w:w="520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Publicação do acórdão do TRF1 no processo nº 1003948-83.2019.4.01.3400</w:t>
            </w:r>
          </w:p>
        </w:tc>
        <w:tc>
          <w:tcPr>
            <w:tcW w:type="dxa" w:w="386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Revisão imediata do item 3 e comunicação à Diretoria Executiva.</w:t>
            </w:r>
          </w:p>
        </w:tc>
      </w:tr>
      <w:tr>
        <w:trPr>
          <w:cantSplit/>
        </w:trPr>
        <w:tc>
          <w:tcPr>
            <w:tcW w:type="dxa" w:w="520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Resolução de qualquer pendência do item 4</w:t>
            </w:r>
          </w:p>
        </w:tc>
        <w:tc>
          <w:tcPr>
            <w:tcW w:type="dxa" w:w="386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Atualização da linha correspondente e elevação do grau de verificação.</w:t>
            </w:r>
          </w:p>
        </w:tc>
      </w:tr>
      <w:tr>
        <w:trPr>
          <w:cantSplit/>
        </w:trPr>
        <w:tc>
          <w:tcPr>
            <w:tcW w:type="dxa" w:w="520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Resposta à consulta à Vigilância Sanitária Estadual</w:t>
            </w:r>
          </w:p>
        </w:tc>
        <w:tc>
          <w:tcPr>
            <w:tcW w:type="dxa" w:w="386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Inclusão da camada estadual no item 8 e supressão da lacuna declarada.</w:t>
            </w:r>
          </w:p>
        </w:tc>
      </w:tr>
      <w:tr>
        <w:trPr>
          <w:cantSplit/>
        </w:trPr>
        <w:tc>
          <w:tcPr>
            <w:tcW w:type="dxa" w:w="520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Ausência de fato novo</w:t>
            </w:r>
          </w:p>
        </w:tc>
        <w:tc>
          <w:tcPr>
            <w:tcW w:type="dxa" w:w="386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Reconferência mensal registrada em ata, com atualização da data de referência.</w:t>
            </w:r>
          </w:p>
        </w:tc>
      </w:tr>
    </w:tbl>
    <w:p>
      <w:pPr>
        <w:spacing w:after="240"/>
      </w:pPr>
    </w:p>
    <w:p>
      <w:pPr>
        <w:spacing w:after="120"/>
        <w:jc w:val="both"/>
      </w:pPr>
      <w:r>
        <w:rPr>
          <w:rFonts w:ascii="Calibri" w:hAnsi="Calibri"/>
          <w:b w:val="0"/>
          <w:i/>
          <w:color w:val="1A1A1A"/>
          <w:sz w:val="24"/>
        </w:rPr>
        <w:t>Data de referência desta versão: 25 de agosto de 2026. Próxima reconferência prevista: reunião ordinária de setembro de 2026.</w:t>
      </w:r>
    </w:p>
    <w:p>
      <w:r>
        <w:br w:type="page"/>
      </w: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Atualização normativa e contenciosa desta versão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Os itens abaixo foram acrescentados ou corrigidos após a primeira consolidação do mapa. Todos foram verificados em fonte pública em 25 de agosto de 2026.</w:t>
      </w:r>
    </w:p>
    <w:p>
      <w:pPr>
        <w:keepNext/>
        <w:spacing w:before="240" w:after="80"/>
        <w:jc w:val="left"/>
      </w:pPr>
      <w:r>
        <w:rPr>
          <w:rFonts w:ascii="Calibri" w:hAnsi="Calibri"/>
          <w:b/>
          <w:color w:val="143C64"/>
          <w:sz w:val="26"/>
        </w:rPr>
        <w:t>Norma acrescentada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1709"/>
        <w:gridCol w:w="3584"/>
        <w:gridCol w:w="3779"/>
      </w:tblGrid>
      <w:tr>
        <w:trPr>
          <w:cantSplit/>
          <w:tblHeader/>
        </w:trPr>
        <w:tc>
          <w:tcPr>
            <w:tcW w:type="dxa" w:w="1709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Ato</w:t>
            </w:r>
          </w:p>
        </w:tc>
        <w:tc>
          <w:tcPr>
            <w:tcW w:type="dxa" w:w="3584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Objeto</w:t>
            </w:r>
          </w:p>
        </w:tc>
        <w:tc>
          <w:tcPr>
            <w:tcW w:type="dxa" w:w="3779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Incidência no pacote</w:t>
            </w:r>
          </w:p>
        </w:tc>
      </w:tr>
      <w:tr>
        <w:trPr>
          <w:cantSplit/>
        </w:trPr>
        <w:tc>
          <w:tcPr>
            <w:tcW w:type="dxa" w:w="170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Lei nº 15.378, de 6 de abril de 2026</w:t>
            </w:r>
          </w:p>
        </w:tc>
        <w:tc>
          <w:tcPr>
            <w:tcW w:type="dxa" w:w="358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Institui o Estatuto dos Direitos do Paciente, primeiro marco legal nacional dedicado aos direitos e responsabilidades de quem busca cuidados em saúde.</w:t>
            </w:r>
          </w:p>
        </w:tc>
        <w:tc>
          <w:tcPr>
            <w:tcW w:type="dxa" w:w="377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Alcança a rede privada, incluindo clínicas e consultórios. Sustenta legalmente as exigências de informação clara sobre diagnóstico, riscos e alternativas, de consentimento, de acesso ao prontuário e de confidencialidade, que antes o pacote apoiava apenas em norma ética.</w:t>
            </w:r>
          </w:p>
        </w:tc>
      </w:tr>
      <w:tr>
        <w:trPr>
          <w:cantSplit/>
        </w:trPr>
        <w:tc>
          <w:tcPr>
            <w:tcW w:type="dxa" w:w="170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Lei nº 12.842/2013</w:t>
            </w:r>
          </w:p>
        </w:tc>
        <w:tc>
          <w:tcPr>
            <w:tcW w:type="dxa" w:w="358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Lei do Ato Médico.</w:t>
            </w:r>
          </w:p>
        </w:tc>
        <w:tc>
          <w:tcPr>
            <w:tcW w:type="dxa" w:w="377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Delimitação de atos privativos. É o fundamento invocado na controvérsia judicial sobre sedação profunda, registrada abaixo.</w:t>
            </w:r>
          </w:p>
        </w:tc>
      </w:tr>
    </w:tbl>
    <w:p>
      <w:pPr>
        <w:keepNext/>
        <w:spacing w:before="240" w:after="80"/>
        <w:jc w:val="left"/>
      </w:pPr>
      <w:r>
        <w:rPr>
          <w:rFonts w:ascii="Calibri" w:hAnsi="Calibri"/>
          <w:b/>
          <w:color w:val="143C64"/>
          <w:sz w:val="26"/>
        </w:rPr>
        <w:t>Situações contenciosas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120" w:type="dxa"/>
          <w:left w:w="160" w:type="dxa"/>
          <w:bottom w:w="120" w:type="dxa"/>
          <w:right w:w="160" w:type="dxa"/>
        </w:tblCellMar>
        <w:tblBorders>
          <w:top w:val="single" w:sz="4" w:space="0" w:color="FBF0E6"/>
          <w:bottom w:val="single" w:sz="4" w:space="0" w:color="FBF0E6"/>
          <w:right w:val="single" w:sz="4" w:space="0" w:color="FBF0E6"/>
          <w:insideH w:val="single" w:sz="4" w:space="0" w:color="FBF0E6"/>
          <w:insideV w:val="single" w:sz="4" w:space="0" w:color="FBF0E6"/>
          <w:left w:val="single" w:sz="24" w:space="0" w:color="A05A2C"/>
        </w:tblBorders>
        <w:tblLayout w:type="fixed"/>
      </w:tblPr>
      <w:tblGrid>
        <w:gridCol w:w="9072"/>
      </w:tblGrid>
      <w:tr>
        <w:tc>
          <w:tcPr>
            <w:tcW w:type="dxa" w:w="9072"/>
            <w:shd w:val="clear" w:color="auto" w:fill="FBF0E6"/>
          </w:tcPr>
          <w:p>
            <w:pPr>
              <w:spacing w:after="60"/>
              <w:jc w:val="left"/>
            </w:pPr>
            <w:r/>
            <w:r>
              <w:rPr>
                <w:rFonts w:ascii="Calibri" w:hAnsi="Calibri"/>
                <w:b/>
                <w:color w:val="143C64"/>
                <w:sz w:val="24"/>
              </w:rPr>
              <w:t>Registro de situação contenciosa, verificado em 25 de agosto de 2026</w:t>
            </w:r>
          </w:p>
          <w:p>
            <w:pPr>
              <w:spacing w:after="0"/>
              <w:jc w:val="both"/>
            </w:pPr>
            <w:r>
              <w:rPr>
                <w:rFonts w:ascii="Calibri" w:hAnsi="Calibri"/>
                <w:color w:val="1A1A1A"/>
                <w:sz w:val="24"/>
              </w:rPr>
              <w:t>Em 19 de agosto de 2026, a 8ª Turma do Tribunal Regional Federal da 1ª Região decidiu, por três votos a dois, pela anulação da Resolução CFO nº 198/2019, no processo nº 1003948-83.2019.4.01.3400. Segundo as fontes consultadas, ainda cabe recurso e a medida produz efeito a partir da publicação do acórdão. O Conselho Federal de Odontologia manifestou discordância e informou que adotará as medidas judiciais cabíveis, registrando que, naquele momento, não havia mudança nas atribuições dos cirurgiões-dentistas. Este pacote não depende dessa resolução: sua fundamentação é sanitária, apoiada na RDC Anvisa nº 1.002/2025 e nos demais atos listados no mapa normativo. O fato é registrado por dever de atualidade, e não como posição do Núcleo sobre o mérito da decisão judicial, matéria estranha à sua competência técnica.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120" w:type="dxa"/>
          <w:left w:w="160" w:type="dxa"/>
          <w:bottom w:w="120" w:type="dxa"/>
          <w:right w:w="160" w:type="dxa"/>
        </w:tblCellMar>
        <w:tblBorders>
          <w:top w:val="single" w:sz="4" w:space="0" w:color="FBF0E6"/>
          <w:bottom w:val="single" w:sz="4" w:space="0" w:color="FBF0E6"/>
          <w:right w:val="single" w:sz="4" w:space="0" w:color="FBF0E6"/>
          <w:insideH w:val="single" w:sz="4" w:space="0" w:color="FBF0E6"/>
          <w:insideV w:val="single" w:sz="4" w:space="0" w:color="FBF0E6"/>
          <w:left w:val="single" w:sz="24" w:space="0" w:color="A05A2C"/>
        </w:tblBorders>
        <w:tblLayout w:type="fixed"/>
      </w:tblPr>
      <w:tblGrid>
        <w:gridCol w:w="9072"/>
      </w:tblGrid>
      <w:tr>
        <w:tc>
          <w:tcPr>
            <w:tcW w:type="dxa" w:w="9072"/>
            <w:shd w:val="clear" w:color="auto" w:fill="FBF0E6"/>
          </w:tcPr>
          <w:p>
            <w:pPr>
              <w:spacing w:after="60"/>
              <w:jc w:val="left"/>
            </w:pPr>
            <w:r/>
            <w:r>
              <w:rPr>
                <w:rFonts w:ascii="Calibri" w:hAnsi="Calibri"/>
                <w:b/>
                <w:color w:val="143C64"/>
                <w:sz w:val="24"/>
              </w:rPr>
              <w:t>Registro de situação contenciosa conexa, verificado em 25 de agosto de 2026</w:t>
            </w:r>
          </w:p>
          <w:p>
            <w:pPr>
              <w:spacing w:after="0"/>
              <w:jc w:val="both"/>
            </w:pPr>
            <w:r>
              <w:rPr>
                <w:rFonts w:ascii="Calibri" w:hAnsi="Calibri"/>
                <w:color w:val="1A1A1A"/>
                <w:sz w:val="24"/>
              </w:rPr>
              <w:t>Em 6 de agosto de 2026, a 3ª Vara Federal Cível da Seção Judiciária do Distrito Federal deferiu liminar na Ação Civil Pública nº 1084782-29.2026.4.01.3400, ajuizada pelo Conselho Federal de Medicina, pela Associação Médica Brasileira e pela Sociedade Brasileira de Anestesiologia, suspendendo parcialmente a Resolução CFO nº 295/2026. Conforme as fontes consultadas, a decisão suspendeu os dispositivos que autorizam, regulamentam ou viabilizam a realização de sedação profunda por cirurgiões-dentistas, e vedou ao CFO conceder ou registrar a habilitação correspondente e reconhecer cursos com essa finalidade, tendo o magistrado assentado, em análise preliminar, que a sedação profunda é atividade privativa do médico nos termos da Lei nº 12.842/2013. Registra-se por dever de atualidade, e não como posição do Núcleo sobre o mérito, matéria estranha à sua competência técnica. Consequência operacional para este pacote: nenhum documento do Núcleo 5 pressupõe sedação profunda como recurso disponível, e os POPs e o fluxograma trabalham com medidas de suporte compatíveis com a capacitação do profissional e com o regime jurídico vigente na data desta versão.</w:t>
            </w:r>
          </w:p>
        </w:tc>
      </w:tr>
    </w:tbl>
    <w:p>
      <w:pPr>
        <w:spacing w:after="80"/>
      </w:pPr>
    </w:p>
    <w:p>
      <w:pPr>
        <w:keepNext/>
        <w:spacing w:before="240" w:after="80"/>
        <w:jc w:val="left"/>
      </w:pPr>
      <w:r>
        <w:rPr>
          <w:rFonts w:ascii="Calibri" w:hAnsi="Calibri"/>
          <w:b/>
          <w:color w:val="143C64"/>
          <w:sz w:val="26"/>
        </w:rPr>
        <w:t>Correção de registro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Versão intermediária do pacote registrou a liminar sobre a Resolução CFO nº 295/2026 como datada de 24 de agosto de 2026. A data correta é 6 de agosto de 2026, e o processo é a Ação Civil Pública nº 1084782-29.2026.4.01.3400. A correção fica registrada para que a divergência entre versões seja rastreável.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/>
        <w:color w:val="444A52"/>
        <w:sz w:val="18"/>
      </w:rPr>
      <w:t>N5-MAPA-01 · Mapa Normativo Consolidado · versão 1.0 · documento técnico-consultivo · uso interno do Núcleo 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  <w:r>
      <w:rPr>
        <w:rFonts w:ascii="Calibri" w:hAnsi="Calibri"/>
        <w:color w:val="444A52"/>
        <w:sz w:val="18"/>
      </w:rPr>
      <w:t>Núcleo 5 · CT-HOF · CRO-MG   |   N5-MAPA-01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Calibri" w:hAnsi="Calibri" w:eastAsia="Calibri"/>
      <w:color w:val="1A1A1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