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0"/>
      </w:pPr>
    </w:p>
    <w:p>
      <w:pPr>
        <w:spacing w:after="40"/>
        <w:jc w:val="center"/>
      </w:pPr>
      <w:r>
        <w:rPr>
          <w:rFonts w:ascii="Calibri" w:hAnsi="Calibri"/>
          <w:b/>
          <w:i w:val="0"/>
          <w:color w:val="444A52"/>
          <w:sz w:val="24"/>
        </w:rPr>
        <w:t>CONSELHO REGIONAL DE ODONTOLOGIA DE MINAS GERAIS</w:t>
      </w:r>
    </w:p>
    <w:p>
      <w:pPr>
        <w:spacing w:after="40"/>
        <w:jc w:val="center"/>
      </w:pPr>
      <w:r>
        <w:rPr>
          <w:rFonts w:ascii="Calibri" w:hAnsi="Calibri"/>
          <w:b w:val="0"/>
          <w:i w:val="0"/>
          <w:color w:val="444A52"/>
          <w:sz w:val="24"/>
        </w:rPr>
        <w:t>Câmara Técnica de Harmonização Orofacial</w:t>
      </w:r>
    </w:p>
    <w:p>
      <w:pPr>
        <w:spacing w:after="600"/>
        <w:jc w:val="center"/>
      </w:pPr>
      <w:r>
        <w:rPr>
          <w:rFonts w:ascii="Calibri" w:hAnsi="Calibri"/>
          <w:b w:val="0"/>
          <w:i w:val="0"/>
          <w:color w:val="444A52"/>
          <w:sz w:val="24"/>
        </w:rPr>
        <w:t>Núcleo 5 · Inovação, Tecnologias e Segurança Clínica</w:t>
      </w:r>
    </w:p>
    <w:p>
      <w:pPr>
        <w:spacing w:after="200"/>
        <w:jc w:val="center"/>
      </w:pPr>
      <w:r>
        <w:rPr>
          <w:rFonts w:ascii="Calibri" w:hAnsi="Calibri"/>
          <w:b/>
          <w:i w:val="0"/>
          <w:color w:val="8A1C1C"/>
          <w:sz w:val="24"/>
        </w:rPr>
        <w:t>DOCUMENTO DE ABERTURA DO PACOTE</w:t>
      </w:r>
    </w:p>
    <w:p>
      <w:pPr>
        <w:spacing w:after="160"/>
        <w:jc w:val="center"/>
      </w:pPr>
      <w:r>
        <w:rPr>
          <w:rFonts w:ascii="Calibri" w:hAnsi="Calibri"/>
          <w:b/>
          <w:color w:val="143C64"/>
          <w:sz w:val="48"/>
        </w:rPr>
        <w:t>Índice Mestre e Controle de Entregas</w:t>
      </w:r>
    </w:p>
    <w:p>
      <w:pPr>
        <w:spacing w:after="720"/>
        <w:jc w:val="center"/>
      </w:pPr>
      <w:r>
        <w:rPr>
          <w:rFonts w:ascii="Calibri" w:hAnsi="Calibri"/>
          <w:b w:val="0"/>
          <w:i w:val="0"/>
          <w:color w:val="444A52"/>
          <w:sz w:val="26"/>
        </w:rPr>
        <w:t>Pacote consolidado do Núcleo 5, ciclo 2026: composição, vinculação às metas, situação de cada entrega, decisões editoriais e pendências declaradas</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595"/>
        <w:gridCol w:w="5477"/>
      </w:tblGrid>
      <w:tr>
        <w:trPr>
          <w:cantSplit/>
          <w:tblHeader/>
        </w:trPr>
        <w:tc>
          <w:tcPr>
            <w:tcW w:type="dxa" w:w="3595"/>
            <w:shd w:val="clear" w:color="auto" w:fill="143C64"/>
          </w:tcPr>
          <w:p>
            <w:pPr>
              <w:spacing w:after="0"/>
              <w:jc w:val="left"/>
            </w:pPr>
            <w:r/>
            <w:r>
              <w:rPr>
                <w:rFonts w:ascii="Calibri" w:hAnsi="Calibri"/>
                <w:b/>
                <w:color w:val="FFFFFF"/>
                <w:sz w:val="24"/>
              </w:rPr>
              <w:t>Identificação do documento</w:t>
            </w:r>
          </w:p>
        </w:tc>
        <w:tc>
          <w:tcPr>
            <w:tcW w:type="dxa" w:w="5477"/>
            <w:shd w:val="clear" w:color="auto" w:fill="143C64"/>
          </w:tcPr>
          <w:p>
            <w:pPr>
              <w:spacing w:after="0"/>
              <w:jc w:val="left"/>
            </w:pPr>
            <w:r/>
            <w:r>
              <w:rPr>
                <w:rFonts w:ascii="Calibri" w:hAnsi="Calibri"/>
                <w:b/>
                <w:color w:val="FFFFFF"/>
                <w:sz w:val="24"/>
              </w:rPr>
              <w:t>Registro</w:t>
            </w:r>
          </w:p>
        </w:tc>
      </w:tr>
      <w:tr>
        <w:trPr>
          <w:cantSplit/>
        </w:trPr>
        <w:tc>
          <w:tcPr>
            <w:tcW w:type="dxa" w:w="3595"/>
          </w:tcPr>
          <w:p>
            <w:pPr>
              <w:spacing w:after="0"/>
              <w:jc w:val="left"/>
            </w:pPr>
            <w:r/>
            <w:r>
              <w:rPr>
                <w:rFonts w:ascii="Calibri" w:hAnsi="Calibri"/>
                <w:b w:val="0"/>
                <w:color w:val="1A1A1A"/>
                <w:sz w:val="24"/>
              </w:rPr>
              <w:t>Código de controle</w:t>
            </w:r>
          </w:p>
        </w:tc>
        <w:tc>
          <w:tcPr>
            <w:tcW w:type="dxa" w:w="5477"/>
          </w:tcPr>
          <w:p>
            <w:pPr>
              <w:spacing w:after="0"/>
              <w:jc w:val="left"/>
            </w:pPr>
            <w:r/>
            <w:r>
              <w:rPr>
                <w:rFonts w:ascii="Calibri" w:hAnsi="Calibri"/>
                <w:b w:val="0"/>
                <w:color w:val="1A1A1A"/>
                <w:sz w:val="24"/>
              </w:rPr>
              <w:t>N5-IND-01</w:t>
            </w:r>
          </w:p>
        </w:tc>
      </w:tr>
      <w:tr>
        <w:trPr>
          <w:cantSplit/>
        </w:trPr>
        <w:tc>
          <w:tcPr>
            <w:tcW w:type="dxa" w:w="3595"/>
            <w:shd w:val="clear" w:color="auto" w:fill="F2F5F8"/>
          </w:tcPr>
          <w:p>
            <w:pPr>
              <w:spacing w:after="0"/>
              <w:jc w:val="left"/>
            </w:pPr>
            <w:r/>
            <w:r>
              <w:rPr>
                <w:rFonts w:ascii="Calibri" w:hAnsi="Calibri"/>
                <w:b w:val="0"/>
                <w:color w:val="1A1A1A"/>
                <w:sz w:val="24"/>
              </w:rPr>
              <w:t>Versão</w:t>
            </w:r>
          </w:p>
        </w:tc>
        <w:tc>
          <w:tcPr>
            <w:tcW w:type="dxa" w:w="5477"/>
            <w:shd w:val="clear" w:color="auto" w:fill="F2F5F8"/>
          </w:tcPr>
          <w:p>
            <w:pPr>
              <w:spacing w:after="0"/>
              <w:jc w:val="left"/>
            </w:pPr>
            <w:r/>
            <w:r>
              <w:rPr>
                <w:rFonts w:ascii="Calibri" w:hAnsi="Calibri"/>
                <w:b w:val="0"/>
                <w:color w:val="1A1A1A"/>
                <w:sz w:val="24"/>
              </w:rPr>
              <w:t>2.0</w:t>
            </w:r>
          </w:p>
        </w:tc>
      </w:tr>
      <w:tr>
        <w:trPr>
          <w:cantSplit/>
        </w:trPr>
        <w:tc>
          <w:tcPr>
            <w:tcW w:type="dxa" w:w="3595"/>
          </w:tcPr>
          <w:p>
            <w:pPr>
              <w:spacing w:after="0"/>
              <w:jc w:val="left"/>
            </w:pPr>
            <w:r/>
            <w:r>
              <w:rPr>
                <w:rFonts w:ascii="Calibri" w:hAnsi="Calibri"/>
                <w:b w:val="0"/>
                <w:color w:val="1A1A1A"/>
                <w:sz w:val="24"/>
              </w:rPr>
              <w:t>Data de emissão</w:t>
            </w:r>
          </w:p>
        </w:tc>
        <w:tc>
          <w:tcPr>
            <w:tcW w:type="dxa" w:w="5477"/>
          </w:tcPr>
          <w:p>
            <w:pPr>
              <w:spacing w:after="0"/>
              <w:jc w:val="left"/>
            </w:pPr>
            <w:r/>
            <w:r>
              <w:rPr>
                <w:rFonts w:ascii="Calibri" w:hAnsi="Calibri"/>
                <w:b w:val="0"/>
                <w:color w:val="1A1A1A"/>
                <w:sz w:val="24"/>
              </w:rPr>
              <w:t>25 de agosto de 2026</w:t>
            </w:r>
          </w:p>
        </w:tc>
      </w:tr>
      <w:tr>
        <w:trPr>
          <w:cantSplit/>
        </w:trPr>
        <w:tc>
          <w:tcPr>
            <w:tcW w:type="dxa" w:w="3595"/>
            <w:shd w:val="clear" w:color="auto" w:fill="F2F5F8"/>
          </w:tcPr>
          <w:p>
            <w:pPr>
              <w:spacing w:after="0"/>
              <w:jc w:val="left"/>
            </w:pPr>
            <w:r/>
            <w:r>
              <w:rPr>
                <w:rFonts w:ascii="Calibri" w:hAnsi="Calibri"/>
                <w:b w:val="0"/>
                <w:color w:val="1A1A1A"/>
                <w:sz w:val="24"/>
              </w:rPr>
              <w:t>Situação</w:t>
            </w:r>
          </w:p>
        </w:tc>
        <w:tc>
          <w:tcPr>
            <w:tcW w:type="dxa" w:w="5477"/>
            <w:shd w:val="clear" w:color="auto" w:fill="F2F5F8"/>
          </w:tcPr>
          <w:p>
            <w:pPr>
              <w:spacing w:after="0"/>
              <w:jc w:val="left"/>
            </w:pPr>
            <w:r/>
            <w:r>
              <w:rPr>
                <w:rFonts w:ascii="Calibri" w:hAnsi="Calibri"/>
                <w:b w:val="0"/>
                <w:color w:val="1A1A1A"/>
                <w:sz w:val="24"/>
              </w:rPr>
              <w:t>Consolidado para submissão à Diretoria Executiva</w:t>
            </w:r>
          </w:p>
        </w:tc>
      </w:tr>
      <w:tr>
        <w:trPr>
          <w:cantSplit/>
        </w:trPr>
        <w:tc>
          <w:tcPr>
            <w:tcW w:type="dxa" w:w="3595"/>
          </w:tcPr>
          <w:p>
            <w:pPr>
              <w:spacing w:after="0"/>
              <w:jc w:val="left"/>
            </w:pPr>
            <w:r/>
            <w:r>
              <w:rPr>
                <w:rFonts w:ascii="Calibri" w:hAnsi="Calibri"/>
                <w:b w:val="0"/>
                <w:color w:val="1A1A1A"/>
                <w:sz w:val="24"/>
              </w:rPr>
              <w:t>Elaboração</w:t>
            </w:r>
          </w:p>
        </w:tc>
        <w:tc>
          <w:tcPr>
            <w:tcW w:type="dxa" w:w="5477"/>
          </w:tcPr>
          <w:p>
            <w:pPr>
              <w:spacing w:after="0"/>
              <w:jc w:val="left"/>
            </w:pPr>
            <w:r/>
            <w:r>
              <w:rPr>
                <w:rFonts w:ascii="Calibri" w:hAnsi="Calibri"/>
                <w:b w:val="0"/>
                <w:color w:val="1A1A1A"/>
                <w:sz w:val="24"/>
              </w:rPr>
              <w:t>Núcleo 5 · Inovação, Tecnologias e Segurança Clínica</w:t>
            </w:r>
          </w:p>
        </w:tc>
      </w:tr>
      <w:tr>
        <w:trPr>
          <w:cantSplit/>
        </w:trPr>
        <w:tc>
          <w:tcPr>
            <w:tcW w:type="dxa" w:w="3595"/>
            <w:shd w:val="clear" w:color="auto" w:fill="F2F5F8"/>
          </w:tcPr>
          <w:p>
            <w:pPr>
              <w:spacing w:after="0"/>
              <w:jc w:val="left"/>
            </w:pPr>
            <w:r/>
            <w:r>
              <w:rPr>
                <w:rFonts w:ascii="Calibri" w:hAnsi="Calibri"/>
                <w:b w:val="0"/>
                <w:color w:val="1A1A1A"/>
                <w:sz w:val="24"/>
              </w:rPr>
              <w:t>Natureza</w:t>
            </w:r>
          </w:p>
        </w:tc>
        <w:tc>
          <w:tcPr>
            <w:tcW w:type="dxa" w:w="5477"/>
            <w:shd w:val="clear" w:color="auto" w:fill="F2F5F8"/>
          </w:tcPr>
          <w:p>
            <w:pPr>
              <w:spacing w:after="0"/>
              <w:jc w:val="left"/>
            </w:pPr>
            <w:r/>
            <w:r>
              <w:rPr>
                <w:rFonts w:ascii="Calibri" w:hAnsi="Calibri"/>
                <w:b w:val="0"/>
                <w:color w:val="1A1A1A"/>
                <w:sz w:val="24"/>
              </w:rPr>
              <w:t>Documento técnico-consultivo, sem caráter normativo ou disciplinar</w:t>
            </w:r>
          </w:p>
        </w:tc>
      </w:tr>
      <w:tr>
        <w:trPr>
          <w:cantSplit/>
        </w:trPr>
        <w:tc>
          <w:tcPr>
            <w:tcW w:type="dxa" w:w="3595"/>
          </w:tcPr>
          <w:p>
            <w:pPr>
              <w:spacing w:after="0"/>
              <w:jc w:val="left"/>
            </w:pPr>
            <w:r/>
            <w:r>
              <w:rPr>
                <w:rFonts w:ascii="Calibri" w:hAnsi="Calibri"/>
                <w:b w:val="0"/>
                <w:color w:val="1A1A1A"/>
                <w:sz w:val="24"/>
              </w:rPr>
              <w:t>Condição de publicação</w:t>
            </w:r>
          </w:p>
        </w:tc>
        <w:tc>
          <w:tcPr>
            <w:tcW w:type="dxa" w:w="5477"/>
          </w:tcPr>
          <w:p>
            <w:pPr>
              <w:spacing w:after="0"/>
              <w:jc w:val="left"/>
            </w:pPr>
            <w:r/>
            <w:r>
              <w:rPr>
                <w:rFonts w:ascii="Calibri" w:hAnsi="Calibri"/>
                <w:b w:val="0"/>
                <w:color w:val="1A1A1A"/>
                <w:sz w:val="24"/>
              </w:rPr>
              <w:t>Sujeito a validação pela Diretoria Executiva do CRO-MG</w:t>
            </w:r>
          </w:p>
        </w:tc>
      </w:tr>
    </w:tbl>
    <w:p>
      <w:pPr>
        <w:spacing w:after="480"/>
      </w:pPr>
    </w:p>
    <w:p>
      <w:pPr>
        <w:spacing w:after="120"/>
        <w:jc w:val="center"/>
      </w:pPr>
      <w:r>
        <w:rPr>
          <w:rFonts w:ascii="Calibri" w:hAnsi="Calibri"/>
          <w:b w:val="0"/>
          <w:i/>
          <w:color w:val="444A52"/>
          <w:sz w:val="24"/>
        </w:rPr>
        <w:t>Documento de circulação interna do Núcleo 5. Não constitui norma, parecer vinculante ou orientação oficial do CRO-MG enquanto não houver deliberação do colegiado e validação da Diretoria Executiva.</w:t>
      </w:r>
    </w:p>
    <w:p>
      <w:r>
        <w:br w:type="page"/>
      </w:r>
    </w:p>
    <w:p>
      <w:pPr>
        <w:keepNext/>
        <w:spacing w:before="360" w:after="160"/>
        <w:jc w:val="left"/>
        <w:pBdr>
          <w:bottom w:val="single" w:sz="8" w:space="4" w:color="143C64"/>
        </w:pBdr>
      </w:pPr>
      <w:r>
        <w:rPr>
          <w:rFonts w:ascii="Calibri" w:hAnsi="Calibri"/>
          <w:b/>
          <w:color w:val="143C64"/>
          <w:sz w:val="30"/>
        </w:rPr>
        <w:t>1  Como ler este pacote</w:t>
      </w:r>
    </w:p>
    <w:p>
      <w:pPr>
        <w:spacing w:after="120"/>
        <w:jc w:val="both"/>
      </w:pPr>
      <w:r>
        <w:rPr>
          <w:rFonts w:ascii="Calibri" w:hAnsi="Calibri"/>
          <w:b w:val="0"/>
          <w:i w:val="0"/>
          <w:color w:val="1A1A1A"/>
          <w:sz w:val="24"/>
        </w:rPr>
        <w:t>Este é o documento de abertura. Ele responde a três perguntas, nesta ordem: o que existe no pacote, em que estado cada peça está, e o que ainda não pode ser afirmado. A terceira pergunta é a mais importante. Um pacote técnico se avalia menos pelo que afirma e mais pelo que reconhece não saber.</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57"/>
        <w:gridCol w:w="5315"/>
      </w:tblGrid>
      <w:tr>
        <w:trPr>
          <w:cantSplit/>
          <w:tblHeader/>
        </w:trPr>
        <w:tc>
          <w:tcPr>
            <w:tcW w:type="dxa" w:w="3757"/>
            <w:shd w:val="clear" w:color="auto" w:fill="143C64"/>
          </w:tcPr>
          <w:p>
            <w:pPr>
              <w:spacing w:after="0"/>
              <w:jc w:val="left"/>
            </w:pPr>
            <w:r/>
            <w:r>
              <w:rPr>
                <w:rFonts w:ascii="Calibri" w:hAnsi="Calibri"/>
                <w:b/>
                <w:color w:val="FFFFFF"/>
                <w:sz w:val="24"/>
              </w:rPr>
              <w:t>Campo</w:t>
            </w:r>
          </w:p>
        </w:tc>
        <w:tc>
          <w:tcPr>
            <w:tcW w:type="dxa" w:w="5315"/>
            <w:shd w:val="clear" w:color="auto" w:fill="143C64"/>
          </w:tcPr>
          <w:p>
            <w:pPr>
              <w:spacing w:after="0"/>
              <w:jc w:val="left"/>
            </w:pPr>
            <w:r/>
            <w:r>
              <w:rPr>
                <w:rFonts w:ascii="Calibri" w:hAnsi="Calibri"/>
                <w:b/>
                <w:color w:val="FFFFFF"/>
                <w:sz w:val="24"/>
              </w:rPr>
              <w:t>Registro</w:t>
            </w:r>
          </w:p>
        </w:tc>
      </w:tr>
      <w:tr>
        <w:trPr>
          <w:cantSplit/>
        </w:trPr>
        <w:tc>
          <w:tcPr>
            <w:tcW w:type="dxa" w:w="3757"/>
          </w:tcPr>
          <w:p>
            <w:pPr>
              <w:spacing w:after="0"/>
              <w:jc w:val="left"/>
            </w:pPr>
            <w:r/>
            <w:r>
              <w:rPr>
                <w:rFonts w:ascii="Calibri" w:hAnsi="Calibri"/>
                <w:b w:val="0"/>
                <w:color w:val="1A1A1A"/>
                <w:sz w:val="24"/>
              </w:rPr>
              <w:t>Órgão</w:t>
            </w:r>
          </w:p>
        </w:tc>
        <w:tc>
          <w:tcPr>
            <w:tcW w:type="dxa" w:w="5315"/>
          </w:tcPr>
          <w:p>
            <w:pPr>
              <w:spacing w:after="0"/>
              <w:jc w:val="left"/>
            </w:pPr>
            <w:r/>
            <w:r>
              <w:rPr>
                <w:rFonts w:ascii="Calibri" w:hAnsi="Calibri"/>
                <w:b w:val="0"/>
                <w:color w:val="1A1A1A"/>
                <w:sz w:val="24"/>
              </w:rPr>
              <w:t>Câmara Técnica de Harmonização Orofacial, CRO-MG</w:t>
            </w:r>
          </w:p>
        </w:tc>
      </w:tr>
      <w:tr>
        <w:trPr>
          <w:cantSplit/>
        </w:trPr>
        <w:tc>
          <w:tcPr>
            <w:tcW w:type="dxa" w:w="3757"/>
            <w:shd w:val="clear" w:color="auto" w:fill="F2F5F8"/>
          </w:tcPr>
          <w:p>
            <w:pPr>
              <w:spacing w:after="0"/>
              <w:jc w:val="left"/>
            </w:pPr>
            <w:r/>
            <w:r>
              <w:rPr>
                <w:rFonts w:ascii="Calibri" w:hAnsi="Calibri"/>
                <w:b w:val="0"/>
                <w:color w:val="1A1A1A"/>
                <w:sz w:val="24"/>
              </w:rPr>
              <w:t>Núcleo</w:t>
            </w:r>
          </w:p>
        </w:tc>
        <w:tc>
          <w:tcPr>
            <w:tcW w:type="dxa" w:w="5315"/>
            <w:shd w:val="clear" w:color="auto" w:fill="F2F5F8"/>
          </w:tcPr>
          <w:p>
            <w:pPr>
              <w:spacing w:after="0"/>
              <w:jc w:val="left"/>
            </w:pPr>
            <w:r/>
            <w:r>
              <w:rPr>
                <w:rFonts w:ascii="Calibri" w:hAnsi="Calibri"/>
                <w:b w:val="0"/>
                <w:color w:val="1A1A1A"/>
                <w:sz w:val="24"/>
              </w:rPr>
              <w:t>Núcleo 5, Inovação, Tecnologias e Segurança Clínica</w:t>
            </w:r>
          </w:p>
        </w:tc>
      </w:tr>
      <w:tr>
        <w:trPr>
          <w:cantSplit/>
        </w:trPr>
        <w:tc>
          <w:tcPr>
            <w:tcW w:type="dxa" w:w="3757"/>
          </w:tcPr>
          <w:p>
            <w:pPr>
              <w:spacing w:after="0"/>
              <w:jc w:val="left"/>
            </w:pPr>
            <w:r/>
            <w:r>
              <w:rPr>
                <w:rFonts w:ascii="Calibri" w:hAnsi="Calibri"/>
                <w:b w:val="0"/>
                <w:color w:val="1A1A1A"/>
                <w:sz w:val="24"/>
              </w:rPr>
              <w:t>Base de composição</w:t>
            </w:r>
          </w:p>
        </w:tc>
        <w:tc>
          <w:tcPr>
            <w:tcW w:type="dxa" w:w="5315"/>
          </w:tcPr>
          <w:p>
            <w:pPr>
              <w:spacing w:after="0"/>
              <w:jc w:val="left"/>
            </w:pPr>
            <w:r/>
            <w:r>
              <w:rPr>
                <w:rFonts w:ascii="Calibri" w:hAnsi="Calibri"/>
                <w:b w:val="0"/>
                <w:color w:val="1A1A1A"/>
                <w:sz w:val="24"/>
              </w:rPr>
              <w:t>Portaria CRO-MG nº 190/2026</w:t>
            </w:r>
          </w:p>
        </w:tc>
      </w:tr>
      <w:tr>
        <w:trPr>
          <w:cantSplit/>
        </w:trPr>
        <w:tc>
          <w:tcPr>
            <w:tcW w:type="dxa" w:w="3757"/>
            <w:shd w:val="clear" w:color="auto" w:fill="F2F5F8"/>
          </w:tcPr>
          <w:p>
            <w:pPr>
              <w:spacing w:after="0"/>
              <w:jc w:val="left"/>
            </w:pPr>
            <w:r/>
            <w:r>
              <w:rPr>
                <w:rFonts w:ascii="Calibri" w:hAnsi="Calibri"/>
                <w:b w:val="0"/>
                <w:color w:val="1A1A1A"/>
                <w:sz w:val="24"/>
              </w:rPr>
              <w:t>Presidente</w:t>
            </w:r>
          </w:p>
        </w:tc>
        <w:tc>
          <w:tcPr>
            <w:tcW w:type="dxa" w:w="5315"/>
            <w:shd w:val="clear" w:color="auto" w:fill="F2F5F8"/>
          </w:tcPr>
          <w:p>
            <w:pPr>
              <w:spacing w:after="0"/>
              <w:jc w:val="left"/>
            </w:pPr>
            <w:r/>
            <w:r>
              <w:rPr>
                <w:rFonts w:ascii="Calibri" w:hAnsi="Calibri"/>
                <w:b w:val="0"/>
                <w:color w:val="1A1A1A"/>
                <w:sz w:val="24"/>
              </w:rPr>
              <w:t>Allyson Henrique de Andrade Fonseca, MG-CD 37.755</w:t>
            </w:r>
          </w:p>
        </w:tc>
      </w:tr>
      <w:tr>
        <w:trPr>
          <w:cantSplit/>
        </w:trPr>
        <w:tc>
          <w:tcPr>
            <w:tcW w:type="dxa" w:w="3757"/>
          </w:tcPr>
          <w:p>
            <w:pPr>
              <w:spacing w:after="0"/>
              <w:jc w:val="left"/>
            </w:pPr>
            <w:r/>
            <w:r>
              <w:rPr>
                <w:rFonts w:ascii="Calibri" w:hAnsi="Calibri"/>
                <w:b w:val="0"/>
                <w:color w:val="1A1A1A"/>
                <w:sz w:val="24"/>
              </w:rPr>
              <w:t>Vice-Presidente</w:t>
            </w:r>
          </w:p>
        </w:tc>
        <w:tc>
          <w:tcPr>
            <w:tcW w:type="dxa" w:w="5315"/>
          </w:tcPr>
          <w:p>
            <w:pPr>
              <w:spacing w:after="0"/>
              <w:jc w:val="left"/>
            </w:pPr>
            <w:r/>
            <w:r>
              <w:rPr>
                <w:rFonts w:ascii="Calibri" w:hAnsi="Calibri"/>
                <w:b w:val="0"/>
                <w:color w:val="1A1A1A"/>
                <w:sz w:val="24"/>
              </w:rPr>
              <w:t>Tânia de Carvalho Rocha, MG-CD 13.166</w:t>
            </w:r>
          </w:p>
        </w:tc>
      </w:tr>
      <w:tr>
        <w:trPr>
          <w:cantSplit/>
        </w:trPr>
        <w:tc>
          <w:tcPr>
            <w:tcW w:type="dxa" w:w="3757"/>
            <w:shd w:val="clear" w:color="auto" w:fill="F2F5F8"/>
          </w:tcPr>
          <w:p>
            <w:pPr>
              <w:spacing w:after="0"/>
              <w:jc w:val="left"/>
            </w:pPr>
            <w:r/>
            <w:r>
              <w:rPr>
                <w:rFonts w:ascii="Calibri" w:hAnsi="Calibri"/>
                <w:b w:val="0"/>
                <w:color w:val="1A1A1A"/>
                <w:sz w:val="24"/>
              </w:rPr>
              <w:t>Secretária</w:t>
            </w:r>
          </w:p>
        </w:tc>
        <w:tc>
          <w:tcPr>
            <w:tcW w:type="dxa" w:w="5315"/>
            <w:shd w:val="clear" w:color="auto" w:fill="F2F5F8"/>
          </w:tcPr>
          <w:p>
            <w:pPr>
              <w:spacing w:after="0"/>
              <w:jc w:val="left"/>
            </w:pPr>
            <w:r/>
            <w:r>
              <w:rPr>
                <w:rFonts w:ascii="Calibri" w:hAnsi="Calibri"/>
                <w:b w:val="0"/>
                <w:color w:val="1A1A1A"/>
                <w:sz w:val="24"/>
              </w:rPr>
              <w:t>Lívia Ciribelli Borges, MG-CD 34.944</w:t>
            </w:r>
          </w:p>
        </w:tc>
      </w:tr>
      <w:tr>
        <w:trPr>
          <w:cantSplit/>
        </w:trPr>
        <w:tc>
          <w:tcPr>
            <w:tcW w:type="dxa" w:w="3757"/>
          </w:tcPr>
          <w:p>
            <w:pPr>
              <w:spacing w:after="0"/>
              <w:jc w:val="left"/>
            </w:pPr>
            <w:r/>
            <w:r>
              <w:rPr>
                <w:rFonts w:ascii="Calibri" w:hAnsi="Calibri"/>
                <w:b w:val="0"/>
                <w:color w:val="1A1A1A"/>
                <w:sz w:val="24"/>
              </w:rPr>
              <w:t>Período operacional</w:t>
            </w:r>
          </w:p>
        </w:tc>
        <w:tc>
          <w:tcPr>
            <w:tcW w:type="dxa" w:w="5315"/>
          </w:tcPr>
          <w:p>
            <w:pPr>
              <w:spacing w:after="0"/>
              <w:jc w:val="left"/>
            </w:pPr>
            <w:r/>
            <w:r>
              <w:rPr>
                <w:rFonts w:ascii="Calibri" w:hAnsi="Calibri"/>
                <w:b w:val="0"/>
                <w:color w:val="1A1A1A"/>
                <w:sz w:val="24"/>
              </w:rPr>
              <w:t>Julho a dezembro de 2026</w:t>
            </w:r>
          </w:p>
        </w:tc>
      </w:tr>
      <w:tr>
        <w:trPr>
          <w:cantSplit/>
        </w:trPr>
        <w:tc>
          <w:tcPr>
            <w:tcW w:type="dxa" w:w="3757"/>
            <w:shd w:val="clear" w:color="auto" w:fill="F2F5F8"/>
          </w:tcPr>
          <w:p>
            <w:pPr>
              <w:spacing w:after="0"/>
              <w:jc w:val="left"/>
            </w:pPr>
            <w:r/>
            <w:r>
              <w:rPr>
                <w:rFonts w:ascii="Calibri" w:hAnsi="Calibri"/>
                <w:b w:val="0"/>
                <w:color w:val="1A1A1A"/>
                <w:sz w:val="24"/>
              </w:rPr>
              <w:t>Versão do pacote</w:t>
            </w:r>
          </w:p>
        </w:tc>
        <w:tc>
          <w:tcPr>
            <w:tcW w:type="dxa" w:w="5315"/>
            <w:shd w:val="clear" w:color="auto" w:fill="F2F5F8"/>
          </w:tcPr>
          <w:p>
            <w:pPr>
              <w:spacing w:after="0"/>
              <w:jc w:val="left"/>
            </w:pPr>
            <w:r/>
            <w:r>
              <w:rPr>
                <w:rFonts w:ascii="Calibri" w:hAnsi="Calibri"/>
                <w:b w:val="0"/>
                <w:color w:val="1A1A1A"/>
                <w:sz w:val="24"/>
              </w:rPr>
              <w:t>2.0, consolidada e auditada</w:t>
            </w:r>
          </w:p>
        </w:tc>
      </w:tr>
      <w:tr>
        <w:trPr>
          <w:cantSplit/>
        </w:trPr>
        <w:tc>
          <w:tcPr>
            <w:tcW w:type="dxa" w:w="3757"/>
          </w:tcPr>
          <w:p>
            <w:pPr>
              <w:spacing w:after="0"/>
              <w:jc w:val="left"/>
            </w:pPr>
            <w:r/>
            <w:r>
              <w:rPr>
                <w:rFonts w:ascii="Calibri" w:hAnsi="Calibri"/>
                <w:b w:val="0"/>
                <w:color w:val="1A1A1A"/>
                <w:sz w:val="24"/>
              </w:rPr>
              <w:t>Situação</w:t>
            </w:r>
          </w:p>
        </w:tc>
        <w:tc>
          <w:tcPr>
            <w:tcW w:type="dxa" w:w="5315"/>
          </w:tcPr>
          <w:p>
            <w:pPr>
              <w:spacing w:after="0"/>
              <w:jc w:val="left"/>
            </w:pPr>
            <w:r/>
            <w:r>
              <w:rPr>
                <w:rFonts w:ascii="Calibri" w:hAnsi="Calibri"/>
                <w:b w:val="0"/>
                <w:color w:val="1A1A1A"/>
                <w:sz w:val="24"/>
              </w:rPr>
              <w:t>Pronto para validação institucional</w:t>
            </w:r>
          </w:p>
        </w:tc>
      </w:tr>
    </w:tbl>
    <w:p>
      <w:pPr>
        <w:keepNext/>
        <w:spacing w:before="360" w:after="160"/>
        <w:jc w:val="left"/>
        <w:pBdr>
          <w:bottom w:val="single" w:sz="8" w:space="4" w:color="143C64"/>
        </w:pBdr>
      </w:pPr>
      <w:r>
        <w:rPr>
          <w:rFonts w:ascii="Calibri" w:hAnsi="Calibri"/>
          <w:b/>
          <w:color w:val="143C64"/>
          <w:sz w:val="30"/>
        </w:rPr>
        <w:t>2  Composição do pacote</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679"/>
        <w:gridCol w:w="3067"/>
        <w:gridCol w:w="2002"/>
        <w:gridCol w:w="3324"/>
      </w:tblGrid>
      <w:tr>
        <w:trPr>
          <w:cantSplit/>
          <w:tblHeader/>
        </w:trPr>
        <w:tc>
          <w:tcPr>
            <w:tcW w:type="dxa" w:w="679"/>
            <w:shd w:val="clear" w:color="auto" w:fill="143C64"/>
          </w:tcPr>
          <w:p>
            <w:pPr>
              <w:spacing w:after="0"/>
              <w:jc w:val="left"/>
            </w:pPr>
            <w:r/>
            <w:r>
              <w:rPr>
                <w:rFonts w:ascii="Calibri" w:hAnsi="Calibri"/>
                <w:b/>
                <w:color w:val="FFFFFF"/>
                <w:sz w:val="24"/>
              </w:rPr>
              <w:t>Nº</w:t>
            </w:r>
          </w:p>
        </w:tc>
        <w:tc>
          <w:tcPr>
            <w:tcW w:type="dxa" w:w="3067"/>
            <w:shd w:val="clear" w:color="auto" w:fill="143C64"/>
          </w:tcPr>
          <w:p>
            <w:pPr>
              <w:spacing w:after="0"/>
              <w:jc w:val="left"/>
            </w:pPr>
            <w:r/>
            <w:r>
              <w:rPr>
                <w:rFonts w:ascii="Calibri" w:hAnsi="Calibri"/>
                <w:b/>
                <w:color w:val="FFFFFF"/>
                <w:sz w:val="24"/>
              </w:rPr>
              <w:t>Documento</w:t>
            </w:r>
          </w:p>
        </w:tc>
        <w:tc>
          <w:tcPr>
            <w:tcW w:type="dxa" w:w="2002"/>
            <w:shd w:val="clear" w:color="auto" w:fill="143C64"/>
          </w:tcPr>
          <w:p>
            <w:pPr>
              <w:spacing w:after="0"/>
              <w:jc w:val="left"/>
            </w:pPr>
            <w:r/>
            <w:r>
              <w:rPr>
                <w:rFonts w:ascii="Calibri" w:hAnsi="Calibri"/>
                <w:b/>
                <w:color w:val="FFFFFF"/>
                <w:sz w:val="24"/>
              </w:rPr>
              <w:t>Meta</w:t>
            </w:r>
          </w:p>
        </w:tc>
        <w:tc>
          <w:tcPr>
            <w:tcW w:type="dxa" w:w="3324"/>
            <w:shd w:val="clear" w:color="auto" w:fill="143C64"/>
          </w:tcPr>
          <w:p>
            <w:pPr>
              <w:spacing w:after="0"/>
              <w:jc w:val="left"/>
            </w:pPr>
            <w:r/>
            <w:r>
              <w:rPr>
                <w:rFonts w:ascii="Calibri" w:hAnsi="Calibri"/>
                <w:b/>
                <w:color w:val="FFFFFF"/>
                <w:sz w:val="24"/>
              </w:rPr>
              <w:t>Função</w:t>
            </w:r>
          </w:p>
        </w:tc>
      </w:tr>
      <w:tr>
        <w:trPr>
          <w:cantSplit/>
        </w:trPr>
        <w:tc>
          <w:tcPr>
            <w:tcW w:type="dxa" w:w="679"/>
          </w:tcPr>
          <w:p>
            <w:pPr>
              <w:spacing w:after="0"/>
              <w:jc w:val="left"/>
            </w:pPr>
            <w:r/>
            <w:r>
              <w:rPr>
                <w:rFonts w:ascii="Calibri" w:hAnsi="Calibri"/>
                <w:b/>
                <w:color w:val="1A1A1A"/>
                <w:sz w:val="24"/>
              </w:rPr>
              <w:t>00</w:t>
            </w:r>
          </w:p>
        </w:tc>
        <w:tc>
          <w:tcPr>
            <w:tcW w:type="dxa" w:w="3067"/>
          </w:tcPr>
          <w:p>
            <w:pPr>
              <w:spacing w:after="0"/>
              <w:jc w:val="left"/>
            </w:pPr>
            <w:r/>
            <w:r>
              <w:rPr>
                <w:rFonts w:ascii="Calibri" w:hAnsi="Calibri"/>
                <w:b w:val="0"/>
                <w:color w:val="1A1A1A"/>
                <w:sz w:val="24"/>
              </w:rPr>
              <w:t>Índice Mestre e Controle de Entregas</w:t>
            </w:r>
          </w:p>
        </w:tc>
        <w:tc>
          <w:tcPr>
            <w:tcW w:type="dxa" w:w="2002"/>
          </w:tcPr>
          <w:p>
            <w:pPr>
              <w:spacing w:after="0"/>
              <w:jc w:val="left"/>
            </w:pPr>
            <w:r/>
            <w:r>
              <w:rPr>
                <w:rFonts w:ascii="Calibri" w:hAnsi="Calibri"/>
                <w:b w:val="0"/>
                <w:color w:val="1A1A1A"/>
                <w:sz w:val="24"/>
              </w:rPr>
              <w:t>Transversal</w:t>
            </w:r>
          </w:p>
        </w:tc>
        <w:tc>
          <w:tcPr>
            <w:tcW w:type="dxa" w:w="3324"/>
          </w:tcPr>
          <w:p>
            <w:pPr>
              <w:spacing w:after="0"/>
              <w:jc w:val="left"/>
            </w:pPr>
            <w:r/>
            <w:r>
              <w:rPr>
                <w:rFonts w:ascii="Calibri" w:hAnsi="Calibri"/>
                <w:b w:val="0"/>
                <w:color w:val="1A1A1A"/>
                <w:sz w:val="24"/>
              </w:rPr>
              <w:t>Abertura, composição, situação e pendências.</w:t>
            </w:r>
          </w:p>
        </w:tc>
      </w:tr>
      <w:tr>
        <w:trPr>
          <w:cantSplit/>
        </w:trPr>
        <w:tc>
          <w:tcPr>
            <w:tcW w:type="dxa" w:w="679"/>
            <w:shd w:val="clear" w:color="auto" w:fill="F2F5F8"/>
          </w:tcPr>
          <w:p>
            <w:pPr>
              <w:spacing w:after="0"/>
              <w:jc w:val="left"/>
            </w:pPr>
            <w:r/>
            <w:r>
              <w:rPr>
                <w:rFonts w:ascii="Calibri" w:hAnsi="Calibri"/>
                <w:b/>
                <w:color w:val="1A1A1A"/>
                <w:sz w:val="24"/>
              </w:rPr>
              <w:t>01</w:t>
            </w:r>
          </w:p>
        </w:tc>
        <w:tc>
          <w:tcPr>
            <w:tcW w:type="dxa" w:w="3067"/>
            <w:shd w:val="clear" w:color="auto" w:fill="F2F5F8"/>
          </w:tcPr>
          <w:p>
            <w:pPr>
              <w:spacing w:after="0"/>
              <w:jc w:val="left"/>
            </w:pPr>
            <w:r/>
            <w:r>
              <w:rPr>
                <w:rFonts w:ascii="Calibri" w:hAnsi="Calibri"/>
                <w:b w:val="0"/>
                <w:color w:val="1A1A1A"/>
                <w:sz w:val="24"/>
              </w:rPr>
              <w:t>Programa HOF Segura 2026</w:t>
            </w:r>
          </w:p>
        </w:tc>
        <w:tc>
          <w:tcPr>
            <w:tcW w:type="dxa" w:w="2002"/>
            <w:shd w:val="clear" w:color="auto" w:fill="F2F5F8"/>
          </w:tcPr>
          <w:p>
            <w:pPr>
              <w:spacing w:after="0"/>
              <w:jc w:val="left"/>
            </w:pPr>
            <w:r/>
            <w:r>
              <w:rPr>
                <w:rFonts w:ascii="Calibri" w:hAnsi="Calibri"/>
                <w:b w:val="0"/>
                <w:color w:val="1A1A1A"/>
                <w:sz w:val="24"/>
              </w:rPr>
              <w:t>Transversal</w:t>
            </w:r>
          </w:p>
        </w:tc>
        <w:tc>
          <w:tcPr>
            <w:tcW w:type="dxa" w:w="3324"/>
            <w:shd w:val="clear" w:color="auto" w:fill="F2F5F8"/>
          </w:tcPr>
          <w:p>
            <w:pPr>
              <w:spacing w:after="0"/>
              <w:jc w:val="left"/>
            </w:pPr>
            <w:r/>
            <w:r>
              <w:rPr>
                <w:rFonts w:ascii="Calibri" w:hAnsi="Calibri"/>
                <w:b w:val="0"/>
                <w:color w:val="1A1A1A"/>
                <w:sz w:val="24"/>
              </w:rPr>
              <w:t>Documento-quadro. Define a lógica que une os demais.</w:t>
            </w:r>
          </w:p>
        </w:tc>
      </w:tr>
      <w:tr>
        <w:trPr>
          <w:cantSplit/>
        </w:trPr>
        <w:tc>
          <w:tcPr>
            <w:tcW w:type="dxa" w:w="679"/>
          </w:tcPr>
          <w:p>
            <w:pPr>
              <w:spacing w:after="0"/>
              <w:jc w:val="left"/>
            </w:pPr>
            <w:r/>
            <w:r>
              <w:rPr>
                <w:rFonts w:ascii="Calibri" w:hAnsi="Calibri"/>
                <w:b/>
                <w:color w:val="1A1A1A"/>
                <w:sz w:val="24"/>
              </w:rPr>
              <w:t>02</w:t>
            </w:r>
          </w:p>
        </w:tc>
        <w:tc>
          <w:tcPr>
            <w:tcW w:type="dxa" w:w="3067"/>
          </w:tcPr>
          <w:p>
            <w:pPr>
              <w:spacing w:after="0"/>
              <w:jc w:val="left"/>
            </w:pPr>
            <w:r/>
            <w:r>
              <w:rPr>
                <w:rFonts w:ascii="Calibri" w:hAnsi="Calibri"/>
                <w:b w:val="0"/>
                <w:color w:val="1A1A1A"/>
                <w:sz w:val="24"/>
              </w:rPr>
              <w:t>Mapa Normativo Consolidado</w:t>
            </w:r>
          </w:p>
        </w:tc>
        <w:tc>
          <w:tcPr>
            <w:tcW w:type="dxa" w:w="2002"/>
          </w:tcPr>
          <w:p>
            <w:pPr>
              <w:spacing w:after="0"/>
              <w:jc w:val="left"/>
            </w:pPr>
            <w:r/>
            <w:r>
              <w:rPr>
                <w:rFonts w:ascii="Calibri" w:hAnsi="Calibri"/>
                <w:b w:val="0"/>
                <w:color w:val="1A1A1A"/>
                <w:sz w:val="24"/>
              </w:rPr>
              <w:t>M2</w:t>
            </w:r>
          </w:p>
        </w:tc>
        <w:tc>
          <w:tcPr>
            <w:tcW w:type="dxa" w:w="3324"/>
          </w:tcPr>
          <w:p>
            <w:pPr>
              <w:spacing w:after="0"/>
              <w:jc w:val="left"/>
            </w:pPr>
            <w:r/>
            <w:r>
              <w:rPr>
                <w:rFonts w:ascii="Calibri" w:hAnsi="Calibri"/>
                <w:b w:val="0"/>
                <w:color w:val="1A1A1A"/>
                <w:sz w:val="24"/>
              </w:rPr>
              <w:t>Camadas normativas com vigência, data de consulta e situação contenciosa.</w:t>
            </w:r>
          </w:p>
        </w:tc>
      </w:tr>
      <w:tr>
        <w:trPr>
          <w:cantSplit/>
        </w:trPr>
        <w:tc>
          <w:tcPr>
            <w:tcW w:type="dxa" w:w="679"/>
            <w:shd w:val="clear" w:color="auto" w:fill="F2F5F8"/>
          </w:tcPr>
          <w:p>
            <w:pPr>
              <w:spacing w:after="0"/>
              <w:jc w:val="left"/>
            </w:pPr>
            <w:r/>
            <w:r>
              <w:rPr>
                <w:rFonts w:ascii="Calibri" w:hAnsi="Calibri"/>
                <w:b/>
                <w:color w:val="1A1A1A"/>
                <w:sz w:val="24"/>
              </w:rPr>
              <w:t>03</w:t>
            </w:r>
          </w:p>
        </w:tc>
        <w:tc>
          <w:tcPr>
            <w:tcW w:type="dxa" w:w="3067"/>
            <w:shd w:val="clear" w:color="auto" w:fill="F2F5F8"/>
          </w:tcPr>
          <w:p>
            <w:pPr>
              <w:spacing w:after="0"/>
              <w:jc w:val="left"/>
            </w:pPr>
            <w:r/>
            <w:r>
              <w:rPr>
                <w:rFonts w:ascii="Calibri" w:hAnsi="Calibri"/>
                <w:b w:val="0"/>
                <w:color w:val="1A1A1A"/>
                <w:sz w:val="24"/>
              </w:rPr>
              <w:t>Minutas de Consulta Formal</w:t>
            </w:r>
          </w:p>
        </w:tc>
        <w:tc>
          <w:tcPr>
            <w:tcW w:type="dxa" w:w="2002"/>
            <w:shd w:val="clear" w:color="auto" w:fill="F2F5F8"/>
          </w:tcPr>
          <w:p>
            <w:pPr>
              <w:spacing w:after="0"/>
              <w:jc w:val="left"/>
            </w:pPr>
            <w:r/>
            <w:r>
              <w:rPr>
                <w:rFonts w:ascii="Calibri" w:hAnsi="Calibri"/>
                <w:b w:val="0"/>
                <w:color w:val="1A1A1A"/>
                <w:sz w:val="24"/>
              </w:rPr>
              <w:t>M2</w:t>
            </w:r>
          </w:p>
        </w:tc>
        <w:tc>
          <w:tcPr>
            <w:tcW w:type="dxa" w:w="3324"/>
            <w:shd w:val="clear" w:color="auto" w:fill="F2F5F8"/>
          </w:tcPr>
          <w:p>
            <w:pPr>
              <w:spacing w:after="0"/>
              <w:jc w:val="left"/>
            </w:pPr>
            <w:r/>
            <w:r>
              <w:rPr>
                <w:rFonts w:ascii="Calibri" w:hAnsi="Calibri"/>
                <w:b w:val="0"/>
                <w:color w:val="1A1A1A"/>
                <w:sz w:val="24"/>
              </w:rPr>
              <w:t>Encaminhamento à Diretoria e minutas de ofício prontas para protocolo.</w:t>
            </w:r>
          </w:p>
        </w:tc>
      </w:tr>
      <w:tr>
        <w:trPr>
          <w:cantSplit/>
        </w:trPr>
        <w:tc>
          <w:tcPr>
            <w:tcW w:type="dxa" w:w="679"/>
          </w:tcPr>
          <w:p>
            <w:pPr>
              <w:spacing w:after="0"/>
              <w:jc w:val="left"/>
            </w:pPr>
            <w:r/>
            <w:r>
              <w:rPr>
                <w:rFonts w:ascii="Calibri" w:hAnsi="Calibri"/>
                <w:b/>
                <w:color w:val="1A1A1A"/>
                <w:sz w:val="24"/>
              </w:rPr>
              <w:t>04</w:t>
            </w:r>
          </w:p>
        </w:tc>
        <w:tc>
          <w:tcPr>
            <w:tcW w:type="dxa" w:w="3067"/>
          </w:tcPr>
          <w:p>
            <w:pPr>
              <w:spacing w:after="0"/>
              <w:jc w:val="left"/>
            </w:pPr>
            <w:r/>
            <w:r>
              <w:rPr>
                <w:rFonts w:ascii="Calibri" w:hAnsi="Calibri"/>
                <w:b w:val="0"/>
                <w:color w:val="1A1A1A"/>
                <w:sz w:val="24"/>
              </w:rPr>
              <w:t>Protocolo de Levantamento</w:t>
            </w:r>
          </w:p>
        </w:tc>
        <w:tc>
          <w:tcPr>
            <w:tcW w:type="dxa" w:w="2002"/>
          </w:tcPr>
          <w:p>
            <w:pPr>
              <w:spacing w:after="0"/>
              <w:jc w:val="left"/>
            </w:pPr>
            <w:r/>
            <w:r>
              <w:rPr>
                <w:rFonts w:ascii="Calibri" w:hAnsi="Calibri"/>
                <w:b w:val="0"/>
                <w:color w:val="1A1A1A"/>
                <w:sz w:val="24"/>
              </w:rPr>
              <w:t>M3</w:t>
            </w:r>
          </w:p>
        </w:tc>
        <w:tc>
          <w:tcPr>
            <w:tcW w:type="dxa" w:w="3324"/>
          </w:tcPr>
          <w:p>
            <w:pPr>
              <w:spacing w:after="0"/>
              <w:jc w:val="left"/>
            </w:pPr>
            <w:r/>
            <w:r>
              <w:rPr>
                <w:rFonts w:ascii="Calibri" w:hAnsi="Calibri"/>
                <w:b w:val="0"/>
                <w:color w:val="1A1A1A"/>
                <w:sz w:val="24"/>
              </w:rPr>
              <w:t>Fontes, período, estratégia de busca, critérios, taxonomia e limitações.</w:t>
            </w:r>
          </w:p>
        </w:tc>
      </w:tr>
      <w:tr>
        <w:trPr>
          <w:cantSplit/>
        </w:trPr>
        <w:tc>
          <w:tcPr>
            <w:tcW w:type="dxa" w:w="679"/>
            <w:shd w:val="clear" w:color="auto" w:fill="F2F5F8"/>
          </w:tcPr>
          <w:p>
            <w:pPr>
              <w:spacing w:after="0"/>
              <w:jc w:val="left"/>
            </w:pPr>
            <w:r/>
            <w:r>
              <w:rPr>
                <w:rFonts w:ascii="Calibri" w:hAnsi="Calibri"/>
                <w:b/>
                <w:color w:val="1A1A1A"/>
                <w:sz w:val="24"/>
              </w:rPr>
              <w:t>05</w:t>
            </w:r>
          </w:p>
        </w:tc>
        <w:tc>
          <w:tcPr>
            <w:tcW w:type="dxa" w:w="3067"/>
            <w:shd w:val="clear" w:color="auto" w:fill="F2F5F8"/>
          </w:tcPr>
          <w:p>
            <w:pPr>
              <w:spacing w:after="0"/>
              <w:jc w:val="left"/>
            </w:pPr>
            <w:r/>
            <w:r>
              <w:rPr>
                <w:rFonts w:ascii="Calibri" w:hAnsi="Calibri"/>
                <w:b w:val="0"/>
                <w:color w:val="1A1A1A"/>
                <w:sz w:val="24"/>
              </w:rPr>
              <w:t>Modelo Mestre de POP e POPs Prioritários</w:t>
            </w:r>
          </w:p>
        </w:tc>
        <w:tc>
          <w:tcPr>
            <w:tcW w:type="dxa" w:w="2002"/>
            <w:shd w:val="clear" w:color="auto" w:fill="F2F5F8"/>
          </w:tcPr>
          <w:p>
            <w:pPr>
              <w:spacing w:after="0"/>
              <w:jc w:val="left"/>
            </w:pPr>
            <w:r/>
            <w:r>
              <w:rPr>
                <w:rFonts w:ascii="Calibri" w:hAnsi="Calibri"/>
                <w:b w:val="0"/>
                <w:color w:val="1A1A1A"/>
                <w:sz w:val="24"/>
              </w:rPr>
              <w:t>M1, M5, M7</w:t>
            </w:r>
          </w:p>
        </w:tc>
        <w:tc>
          <w:tcPr>
            <w:tcW w:type="dxa" w:w="3324"/>
            <w:shd w:val="clear" w:color="auto" w:fill="F2F5F8"/>
          </w:tcPr>
          <w:p>
            <w:pPr>
              <w:spacing w:after="0"/>
              <w:jc w:val="left"/>
            </w:pPr>
            <w:r/>
            <w:r>
              <w:rPr>
                <w:rFonts w:ascii="Calibri" w:hAnsi="Calibri"/>
                <w:b w:val="0"/>
                <w:color w:val="1A1A1A"/>
                <w:sz w:val="24"/>
              </w:rPr>
              <w:t>Estrutura obrigatória dos POPs, ondas de produção e fichas de preenchimento.</w:t>
            </w:r>
          </w:p>
        </w:tc>
      </w:tr>
      <w:tr>
        <w:trPr>
          <w:cantSplit/>
        </w:trPr>
        <w:tc>
          <w:tcPr>
            <w:tcW w:type="dxa" w:w="679"/>
          </w:tcPr>
          <w:p>
            <w:pPr>
              <w:spacing w:after="0"/>
              <w:jc w:val="left"/>
            </w:pPr>
            <w:r/>
            <w:r>
              <w:rPr>
                <w:rFonts w:ascii="Calibri" w:hAnsi="Calibri"/>
                <w:b/>
                <w:color w:val="1A1A1A"/>
                <w:sz w:val="24"/>
              </w:rPr>
              <w:t>06</w:t>
            </w:r>
          </w:p>
        </w:tc>
        <w:tc>
          <w:tcPr>
            <w:tcW w:type="dxa" w:w="3067"/>
          </w:tcPr>
          <w:p>
            <w:pPr>
              <w:spacing w:after="0"/>
              <w:jc w:val="left"/>
            </w:pPr>
            <w:r/>
            <w:r>
              <w:rPr>
                <w:rFonts w:ascii="Calibri" w:hAnsi="Calibri"/>
                <w:b w:val="0"/>
                <w:color w:val="1A1A1A"/>
                <w:sz w:val="24"/>
              </w:rPr>
              <w:t>Matriz de Avaliação Tecnológica</w:t>
            </w:r>
          </w:p>
        </w:tc>
        <w:tc>
          <w:tcPr>
            <w:tcW w:type="dxa" w:w="2002"/>
          </w:tcPr>
          <w:p>
            <w:pPr>
              <w:spacing w:after="0"/>
              <w:jc w:val="left"/>
            </w:pPr>
            <w:r/>
            <w:r>
              <w:rPr>
                <w:rFonts w:ascii="Calibri" w:hAnsi="Calibri"/>
                <w:b w:val="0"/>
                <w:color w:val="1A1A1A"/>
                <w:sz w:val="24"/>
              </w:rPr>
              <w:t>M1</w:t>
            </w:r>
          </w:p>
        </w:tc>
        <w:tc>
          <w:tcPr>
            <w:tcW w:type="dxa" w:w="3324"/>
          </w:tcPr>
          <w:p>
            <w:pPr>
              <w:spacing w:after="0"/>
              <w:jc w:val="left"/>
            </w:pPr>
            <w:r/>
            <w:r>
              <w:rPr>
                <w:rFonts w:ascii="Calibri" w:hAnsi="Calibri"/>
                <w:b w:val="0"/>
                <w:color w:val="1A1A1A"/>
                <w:sz w:val="24"/>
              </w:rPr>
              <w:t>Método único em oito dimensões, rubrica e regra de conclusão.</w:t>
            </w:r>
          </w:p>
        </w:tc>
      </w:tr>
      <w:tr>
        <w:trPr>
          <w:cantSplit/>
        </w:trPr>
        <w:tc>
          <w:tcPr>
            <w:tcW w:type="dxa" w:w="679"/>
            <w:shd w:val="clear" w:color="auto" w:fill="F2F5F8"/>
          </w:tcPr>
          <w:p>
            <w:pPr>
              <w:spacing w:after="0"/>
              <w:jc w:val="left"/>
            </w:pPr>
            <w:r/>
            <w:r>
              <w:rPr>
                <w:rFonts w:ascii="Calibri" w:hAnsi="Calibri"/>
                <w:b/>
                <w:color w:val="1A1A1A"/>
                <w:sz w:val="24"/>
              </w:rPr>
              <w:t>07</w:t>
            </w:r>
          </w:p>
        </w:tc>
        <w:tc>
          <w:tcPr>
            <w:tcW w:type="dxa" w:w="3067"/>
            <w:shd w:val="clear" w:color="auto" w:fill="F2F5F8"/>
          </w:tcPr>
          <w:p>
            <w:pPr>
              <w:spacing w:after="0"/>
              <w:jc w:val="left"/>
            </w:pPr>
            <w:r/>
            <w:r>
              <w:rPr>
                <w:rFonts w:ascii="Calibri" w:hAnsi="Calibri"/>
                <w:b w:val="0"/>
                <w:color w:val="1A1A1A"/>
                <w:sz w:val="24"/>
              </w:rPr>
              <w:t>Fluxograma Estadual de Intercorrências</w:t>
            </w:r>
          </w:p>
        </w:tc>
        <w:tc>
          <w:tcPr>
            <w:tcW w:type="dxa" w:w="2002"/>
            <w:shd w:val="clear" w:color="auto" w:fill="F2F5F8"/>
          </w:tcPr>
          <w:p>
            <w:pPr>
              <w:spacing w:after="0"/>
              <w:jc w:val="left"/>
            </w:pPr>
            <w:r/>
            <w:r>
              <w:rPr>
                <w:rFonts w:ascii="Calibri" w:hAnsi="Calibri"/>
                <w:b w:val="0"/>
                <w:color w:val="1A1A1A"/>
                <w:sz w:val="24"/>
              </w:rPr>
              <w:t>M4</w:t>
            </w:r>
          </w:p>
        </w:tc>
        <w:tc>
          <w:tcPr>
            <w:tcW w:type="dxa" w:w="3324"/>
            <w:shd w:val="clear" w:color="auto" w:fill="F2F5F8"/>
          </w:tcPr>
          <w:p>
            <w:pPr>
              <w:spacing w:after="0"/>
              <w:jc w:val="left"/>
            </w:pPr>
            <w:r/>
            <w:r>
              <w:rPr>
                <w:rFonts w:ascii="Calibri" w:hAnsi="Calibri"/>
                <w:b w:val="0"/>
                <w:color w:val="1A1A1A"/>
                <w:sz w:val="24"/>
              </w:rPr>
              <w:t>Quatro camadas, fluxo de decisão e seis cenários prioritários.</w:t>
            </w:r>
          </w:p>
        </w:tc>
      </w:tr>
      <w:tr>
        <w:trPr>
          <w:cantSplit/>
        </w:trPr>
        <w:tc>
          <w:tcPr>
            <w:tcW w:type="dxa" w:w="679"/>
          </w:tcPr>
          <w:p>
            <w:pPr>
              <w:spacing w:after="0"/>
              <w:jc w:val="left"/>
            </w:pPr>
            <w:r/>
            <w:r>
              <w:rPr>
                <w:rFonts w:ascii="Calibri" w:hAnsi="Calibri"/>
                <w:b/>
                <w:color w:val="1A1A1A"/>
                <w:sz w:val="24"/>
              </w:rPr>
              <w:t>08</w:t>
            </w:r>
          </w:p>
        </w:tc>
        <w:tc>
          <w:tcPr>
            <w:tcW w:type="dxa" w:w="3067"/>
          </w:tcPr>
          <w:p>
            <w:pPr>
              <w:spacing w:after="0"/>
              <w:jc w:val="left"/>
            </w:pPr>
            <w:r/>
            <w:r>
              <w:rPr>
                <w:rFonts w:ascii="Calibri" w:hAnsi="Calibri"/>
                <w:b w:val="0"/>
                <w:color w:val="1A1A1A"/>
                <w:sz w:val="24"/>
              </w:rPr>
              <w:t>Guia de Diagnóstico Precoce</w:t>
            </w:r>
          </w:p>
        </w:tc>
        <w:tc>
          <w:tcPr>
            <w:tcW w:type="dxa" w:w="2002"/>
          </w:tcPr>
          <w:p>
            <w:pPr>
              <w:spacing w:after="0"/>
              <w:jc w:val="left"/>
            </w:pPr>
            <w:r/>
            <w:r>
              <w:rPr>
                <w:rFonts w:ascii="Calibri" w:hAnsi="Calibri"/>
                <w:b w:val="0"/>
                <w:color w:val="1A1A1A"/>
                <w:sz w:val="24"/>
              </w:rPr>
              <w:t>M4</w:t>
            </w:r>
          </w:p>
        </w:tc>
        <w:tc>
          <w:tcPr>
            <w:tcW w:type="dxa" w:w="3324"/>
          </w:tcPr>
          <w:p>
            <w:pPr>
              <w:spacing w:after="0"/>
              <w:jc w:val="left"/>
            </w:pPr>
            <w:r/>
            <w:r>
              <w:rPr>
                <w:rFonts w:ascii="Calibri" w:hAnsi="Calibri"/>
                <w:b w:val="0"/>
                <w:color w:val="1A1A1A"/>
                <w:sz w:val="24"/>
              </w:rPr>
              <w:t>Camada 2: sinais por domínio, gravidade e uso criterioso da imagem.</w:t>
            </w:r>
          </w:p>
        </w:tc>
      </w:tr>
      <w:tr>
        <w:trPr>
          <w:cantSplit/>
        </w:trPr>
        <w:tc>
          <w:tcPr>
            <w:tcW w:type="dxa" w:w="679"/>
            <w:shd w:val="clear" w:color="auto" w:fill="F2F5F8"/>
          </w:tcPr>
          <w:p>
            <w:pPr>
              <w:spacing w:after="0"/>
              <w:jc w:val="left"/>
            </w:pPr>
            <w:r/>
            <w:r>
              <w:rPr>
                <w:rFonts w:ascii="Calibri" w:hAnsi="Calibri"/>
                <w:b/>
                <w:color w:val="1A1A1A"/>
                <w:sz w:val="24"/>
              </w:rPr>
              <w:t>09</w:t>
            </w:r>
          </w:p>
        </w:tc>
        <w:tc>
          <w:tcPr>
            <w:tcW w:type="dxa" w:w="3067"/>
            <w:shd w:val="clear" w:color="auto" w:fill="F2F5F8"/>
          </w:tcPr>
          <w:p>
            <w:pPr>
              <w:spacing w:after="0"/>
              <w:jc w:val="left"/>
            </w:pPr>
            <w:r/>
            <w:r>
              <w:rPr>
                <w:rFonts w:ascii="Calibri" w:hAnsi="Calibri"/>
                <w:b w:val="0"/>
                <w:color w:val="1A1A1A"/>
                <w:sz w:val="24"/>
              </w:rPr>
              <w:t>Checklist de Segurança Clínica</w:t>
            </w:r>
          </w:p>
        </w:tc>
        <w:tc>
          <w:tcPr>
            <w:tcW w:type="dxa" w:w="2002"/>
            <w:shd w:val="clear" w:color="auto" w:fill="F2F5F8"/>
          </w:tcPr>
          <w:p>
            <w:pPr>
              <w:spacing w:after="0"/>
              <w:jc w:val="left"/>
            </w:pPr>
            <w:r/>
            <w:r>
              <w:rPr>
                <w:rFonts w:ascii="Calibri" w:hAnsi="Calibri"/>
                <w:b w:val="0"/>
                <w:color w:val="1A1A1A"/>
                <w:sz w:val="24"/>
              </w:rPr>
              <w:t>M4</w:t>
            </w:r>
          </w:p>
        </w:tc>
        <w:tc>
          <w:tcPr>
            <w:tcW w:type="dxa" w:w="3324"/>
            <w:shd w:val="clear" w:color="auto" w:fill="F2F5F8"/>
          </w:tcPr>
          <w:p>
            <w:pPr>
              <w:spacing w:after="0"/>
              <w:jc w:val="left"/>
            </w:pPr>
            <w:r/>
            <w:r>
              <w:rPr>
                <w:rFonts w:ascii="Calibri" w:hAnsi="Calibri"/>
                <w:b w:val="0"/>
                <w:color w:val="1A1A1A"/>
                <w:sz w:val="24"/>
              </w:rPr>
              <w:t>Camada 1: verificações, pausa de segurança e kit de resposta.</w:t>
            </w:r>
          </w:p>
        </w:tc>
      </w:tr>
      <w:tr>
        <w:trPr>
          <w:cantSplit/>
        </w:trPr>
        <w:tc>
          <w:tcPr>
            <w:tcW w:type="dxa" w:w="679"/>
          </w:tcPr>
          <w:p>
            <w:pPr>
              <w:spacing w:after="0"/>
              <w:jc w:val="left"/>
            </w:pPr>
            <w:r/>
            <w:r>
              <w:rPr>
                <w:rFonts w:ascii="Calibri" w:hAnsi="Calibri"/>
                <w:b/>
                <w:color w:val="1A1A1A"/>
                <w:sz w:val="24"/>
              </w:rPr>
              <w:t>10</w:t>
            </w:r>
          </w:p>
        </w:tc>
        <w:tc>
          <w:tcPr>
            <w:tcW w:type="dxa" w:w="3067"/>
          </w:tcPr>
          <w:p>
            <w:pPr>
              <w:spacing w:after="0"/>
              <w:jc w:val="left"/>
            </w:pPr>
            <w:r/>
            <w:r>
              <w:rPr>
                <w:rFonts w:ascii="Calibri" w:hAnsi="Calibri"/>
                <w:b w:val="0"/>
                <w:color w:val="1A1A1A"/>
                <w:sz w:val="24"/>
              </w:rPr>
              <w:t>Manual de Boas Práticas em Tecnologias</w:t>
            </w:r>
          </w:p>
        </w:tc>
        <w:tc>
          <w:tcPr>
            <w:tcW w:type="dxa" w:w="2002"/>
          </w:tcPr>
          <w:p>
            <w:pPr>
              <w:spacing w:after="0"/>
              <w:jc w:val="left"/>
            </w:pPr>
            <w:r/>
            <w:r>
              <w:rPr>
                <w:rFonts w:ascii="Calibri" w:hAnsi="Calibri"/>
                <w:b w:val="0"/>
                <w:color w:val="1A1A1A"/>
                <w:sz w:val="24"/>
              </w:rPr>
              <w:t>M6, M8</w:t>
            </w:r>
          </w:p>
        </w:tc>
        <w:tc>
          <w:tcPr>
            <w:tcW w:type="dxa" w:w="3324"/>
          </w:tcPr>
          <w:p>
            <w:pPr>
              <w:spacing w:after="0"/>
              <w:jc w:val="left"/>
            </w:pPr>
            <w:r/>
            <w:r>
              <w:rPr>
                <w:rFonts w:ascii="Calibri" w:hAnsi="Calibri"/>
                <w:b w:val="0"/>
                <w:color w:val="1A1A1A"/>
                <w:sz w:val="24"/>
              </w:rPr>
              <w:t>Ciclo de vida, dossiê mínimo, criticidade e uso fora da indicação aprovada.</w:t>
            </w:r>
          </w:p>
        </w:tc>
      </w:tr>
      <w:tr>
        <w:trPr>
          <w:cantSplit/>
        </w:trPr>
        <w:tc>
          <w:tcPr>
            <w:tcW w:type="dxa" w:w="679"/>
            <w:shd w:val="clear" w:color="auto" w:fill="F2F5F8"/>
          </w:tcPr>
          <w:p>
            <w:pPr>
              <w:spacing w:after="0"/>
              <w:jc w:val="left"/>
            </w:pPr>
            <w:r/>
            <w:r>
              <w:rPr>
                <w:rFonts w:ascii="Calibri" w:hAnsi="Calibri"/>
                <w:b/>
                <w:color w:val="1A1A1A"/>
                <w:sz w:val="24"/>
              </w:rPr>
              <w:t>11</w:t>
            </w:r>
          </w:p>
        </w:tc>
        <w:tc>
          <w:tcPr>
            <w:tcW w:type="dxa" w:w="3067"/>
            <w:shd w:val="clear" w:color="auto" w:fill="F2F5F8"/>
          </w:tcPr>
          <w:p>
            <w:pPr>
              <w:spacing w:after="0"/>
              <w:jc w:val="left"/>
            </w:pPr>
            <w:r/>
            <w:r>
              <w:rPr>
                <w:rFonts w:ascii="Calibri" w:hAnsi="Calibri"/>
                <w:b w:val="0"/>
                <w:color w:val="1A1A1A"/>
                <w:sz w:val="24"/>
              </w:rPr>
              <w:t>Relatório-piloto de Tecnologias Emergentes</w:t>
            </w:r>
          </w:p>
        </w:tc>
        <w:tc>
          <w:tcPr>
            <w:tcW w:type="dxa" w:w="2002"/>
            <w:shd w:val="clear" w:color="auto" w:fill="F2F5F8"/>
          </w:tcPr>
          <w:p>
            <w:pPr>
              <w:spacing w:after="0"/>
              <w:jc w:val="left"/>
            </w:pPr>
            <w:r/>
            <w:r>
              <w:rPr>
                <w:rFonts w:ascii="Calibri" w:hAnsi="Calibri"/>
                <w:b w:val="0"/>
                <w:color w:val="1A1A1A"/>
                <w:sz w:val="24"/>
              </w:rPr>
              <w:t>M9</w:t>
            </w:r>
          </w:p>
        </w:tc>
        <w:tc>
          <w:tcPr>
            <w:tcW w:type="dxa" w:w="3324"/>
            <w:shd w:val="clear" w:color="auto" w:fill="F2F5F8"/>
          </w:tcPr>
          <w:p>
            <w:pPr>
              <w:spacing w:after="0"/>
              <w:jc w:val="left"/>
            </w:pPr>
            <w:r/>
            <w:r>
              <w:rPr>
                <w:rFonts w:ascii="Calibri" w:hAnsi="Calibri"/>
                <w:b w:val="0"/>
                <w:color w:val="1A1A1A"/>
                <w:sz w:val="24"/>
              </w:rPr>
              <w:t>Radar tecnológico e aplicação demonstrativa da Matriz.</w:t>
            </w:r>
          </w:p>
        </w:tc>
      </w:tr>
      <w:tr>
        <w:trPr>
          <w:cantSplit/>
        </w:trPr>
        <w:tc>
          <w:tcPr>
            <w:tcW w:type="dxa" w:w="679"/>
          </w:tcPr>
          <w:p>
            <w:pPr>
              <w:spacing w:after="0"/>
              <w:jc w:val="left"/>
            </w:pPr>
            <w:r/>
            <w:r>
              <w:rPr>
                <w:rFonts w:ascii="Calibri" w:hAnsi="Calibri"/>
                <w:b/>
                <w:color w:val="1A1A1A"/>
                <w:sz w:val="24"/>
              </w:rPr>
              <w:t>12</w:t>
            </w:r>
          </w:p>
        </w:tc>
        <w:tc>
          <w:tcPr>
            <w:tcW w:type="dxa" w:w="3067"/>
          </w:tcPr>
          <w:p>
            <w:pPr>
              <w:spacing w:after="0"/>
              <w:jc w:val="left"/>
            </w:pPr>
            <w:r/>
            <w:r>
              <w:rPr>
                <w:rFonts w:ascii="Calibri" w:hAnsi="Calibri"/>
                <w:b w:val="0"/>
                <w:color w:val="1A1A1A"/>
                <w:sz w:val="24"/>
              </w:rPr>
              <w:t>Matriz de Evidências e Referências</w:t>
            </w:r>
          </w:p>
        </w:tc>
        <w:tc>
          <w:tcPr>
            <w:tcW w:type="dxa" w:w="2002"/>
          </w:tcPr>
          <w:p>
            <w:pPr>
              <w:spacing w:after="0"/>
              <w:jc w:val="left"/>
            </w:pPr>
            <w:r/>
            <w:r>
              <w:rPr>
                <w:rFonts w:ascii="Calibri" w:hAnsi="Calibri"/>
                <w:b w:val="0"/>
                <w:color w:val="1A1A1A"/>
                <w:sz w:val="24"/>
              </w:rPr>
              <w:t>Transversal</w:t>
            </w:r>
          </w:p>
        </w:tc>
        <w:tc>
          <w:tcPr>
            <w:tcW w:type="dxa" w:w="3324"/>
          </w:tcPr>
          <w:p>
            <w:pPr>
              <w:spacing w:after="0"/>
              <w:jc w:val="left"/>
            </w:pPr>
            <w:r/>
            <w:r>
              <w:rPr>
                <w:rFonts w:ascii="Calibri" w:hAnsi="Calibri"/>
                <w:b w:val="0"/>
                <w:color w:val="1A1A1A"/>
                <w:sz w:val="24"/>
              </w:rPr>
              <w:t>Rastreabilidade, registro de verificação e afirmações críticas.</w:t>
            </w:r>
          </w:p>
        </w:tc>
      </w:tr>
      <w:tr>
        <w:trPr>
          <w:cantSplit/>
        </w:trPr>
        <w:tc>
          <w:tcPr>
            <w:tcW w:type="dxa" w:w="679"/>
            <w:shd w:val="clear" w:color="auto" w:fill="F2F5F8"/>
          </w:tcPr>
          <w:p>
            <w:pPr>
              <w:spacing w:after="0"/>
              <w:jc w:val="left"/>
            </w:pPr>
            <w:r/>
            <w:r>
              <w:rPr>
                <w:rFonts w:ascii="Calibri" w:hAnsi="Calibri"/>
                <w:b/>
                <w:color w:val="1A1A1A"/>
                <w:sz w:val="24"/>
              </w:rPr>
              <w:t>13</w:t>
            </w:r>
          </w:p>
        </w:tc>
        <w:tc>
          <w:tcPr>
            <w:tcW w:type="dxa" w:w="3067"/>
            <w:shd w:val="clear" w:color="auto" w:fill="F2F5F8"/>
          </w:tcPr>
          <w:p>
            <w:pPr>
              <w:spacing w:after="0"/>
              <w:jc w:val="left"/>
            </w:pPr>
            <w:r/>
            <w:r>
              <w:rPr>
                <w:rFonts w:ascii="Calibri" w:hAnsi="Calibri"/>
                <w:b w:val="0"/>
                <w:color w:val="1A1A1A"/>
                <w:sz w:val="24"/>
              </w:rPr>
              <w:t>Relatório de Auditoria Técnica</w:t>
            </w:r>
          </w:p>
        </w:tc>
        <w:tc>
          <w:tcPr>
            <w:tcW w:type="dxa" w:w="2002"/>
            <w:shd w:val="clear" w:color="auto" w:fill="F2F5F8"/>
          </w:tcPr>
          <w:p>
            <w:pPr>
              <w:spacing w:after="0"/>
              <w:jc w:val="left"/>
            </w:pPr>
            <w:r/>
            <w:r>
              <w:rPr>
                <w:rFonts w:ascii="Calibri" w:hAnsi="Calibri"/>
                <w:b w:val="0"/>
                <w:color w:val="1A1A1A"/>
                <w:sz w:val="24"/>
              </w:rPr>
              <w:t>Transversal</w:t>
            </w:r>
          </w:p>
        </w:tc>
        <w:tc>
          <w:tcPr>
            <w:tcW w:type="dxa" w:w="3324"/>
            <w:shd w:val="clear" w:color="auto" w:fill="F2F5F8"/>
          </w:tcPr>
          <w:p>
            <w:pPr>
              <w:spacing w:after="0"/>
              <w:jc w:val="left"/>
            </w:pPr>
            <w:r/>
            <w:r>
              <w:rPr>
                <w:rFonts w:ascii="Calibri" w:hAnsi="Calibri"/>
                <w:b w:val="0"/>
                <w:color w:val="1A1A1A"/>
                <w:sz w:val="24"/>
              </w:rPr>
              <w:t>Conferência do conjunto, correções aplicadas e pendências mantidas.</w:t>
            </w:r>
          </w:p>
        </w:tc>
      </w:tr>
      <w:tr>
        <w:trPr>
          <w:cantSplit/>
        </w:trPr>
        <w:tc>
          <w:tcPr>
            <w:tcW w:type="dxa" w:w="679"/>
          </w:tcPr>
          <w:p>
            <w:pPr>
              <w:spacing w:after="0"/>
              <w:jc w:val="left"/>
            </w:pPr>
            <w:r/>
            <w:r>
              <w:rPr>
                <w:rFonts w:ascii="Calibri" w:hAnsi="Calibri"/>
                <w:b/>
                <w:color w:val="1A1A1A"/>
                <w:sz w:val="24"/>
              </w:rPr>
              <w:t>14</w:t>
            </w:r>
          </w:p>
        </w:tc>
        <w:tc>
          <w:tcPr>
            <w:tcW w:type="dxa" w:w="3067"/>
          </w:tcPr>
          <w:p>
            <w:pPr>
              <w:spacing w:after="0"/>
              <w:jc w:val="left"/>
            </w:pPr>
            <w:r/>
            <w:r>
              <w:rPr>
                <w:rFonts w:ascii="Calibri" w:hAnsi="Calibri"/>
                <w:b w:val="0"/>
                <w:color w:val="1A1A1A"/>
                <w:sz w:val="24"/>
              </w:rPr>
              <w:t>Quadro de Deliberação e Validação</w:t>
            </w:r>
          </w:p>
        </w:tc>
        <w:tc>
          <w:tcPr>
            <w:tcW w:type="dxa" w:w="2002"/>
          </w:tcPr>
          <w:p>
            <w:pPr>
              <w:spacing w:after="0"/>
              <w:jc w:val="left"/>
            </w:pPr>
            <w:r/>
            <w:r>
              <w:rPr>
                <w:rFonts w:ascii="Calibri" w:hAnsi="Calibri"/>
                <w:b w:val="0"/>
                <w:color w:val="1A1A1A"/>
                <w:sz w:val="24"/>
              </w:rPr>
              <w:t>M10</w:t>
            </w:r>
          </w:p>
        </w:tc>
        <w:tc>
          <w:tcPr>
            <w:tcW w:type="dxa" w:w="3324"/>
          </w:tcPr>
          <w:p>
            <w:pPr>
              <w:spacing w:after="0"/>
              <w:jc w:val="left"/>
            </w:pPr>
            <w:r/>
            <w:r>
              <w:rPr>
                <w:rFonts w:ascii="Calibri" w:hAnsi="Calibri"/>
                <w:b w:val="0"/>
                <w:color w:val="1A1A1A"/>
                <w:sz w:val="24"/>
              </w:rPr>
              <w:t>Folha de registro da decisão do colegiado e do encaminhamento à Diretoria.</w:t>
            </w:r>
          </w:p>
        </w:tc>
      </w:tr>
      <w:tr>
        <w:trPr>
          <w:cantSplit/>
        </w:trPr>
        <w:tc>
          <w:tcPr>
            <w:tcW w:type="dxa" w:w="679"/>
            <w:shd w:val="clear" w:color="auto" w:fill="F2F5F8"/>
          </w:tcPr>
          <w:p>
            <w:pPr>
              <w:spacing w:after="0"/>
              <w:jc w:val="left"/>
            </w:pPr>
            <w:r/>
            <w:r>
              <w:rPr>
                <w:rFonts w:ascii="Calibri" w:hAnsi="Calibri"/>
                <w:b/>
                <w:color w:val="1A1A1A"/>
                <w:sz w:val="24"/>
              </w:rPr>
              <w:t>15</w:t>
            </w:r>
          </w:p>
        </w:tc>
        <w:tc>
          <w:tcPr>
            <w:tcW w:type="dxa" w:w="3067"/>
            <w:shd w:val="clear" w:color="auto" w:fill="F2F5F8"/>
          </w:tcPr>
          <w:p>
            <w:pPr>
              <w:spacing w:after="0"/>
              <w:jc w:val="left"/>
            </w:pPr>
            <w:r/>
            <w:r>
              <w:rPr>
                <w:rFonts w:ascii="Calibri" w:hAnsi="Calibri"/>
                <w:b w:val="0"/>
                <w:color w:val="1A1A1A"/>
                <w:sz w:val="24"/>
              </w:rPr>
              <w:t>Plano de Conteúdo para o Instagram do CRO-MG</w:t>
            </w:r>
          </w:p>
        </w:tc>
        <w:tc>
          <w:tcPr>
            <w:tcW w:type="dxa" w:w="2002"/>
            <w:shd w:val="clear" w:color="auto" w:fill="F2F5F8"/>
          </w:tcPr>
          <w:p>
            <w:pPr>
              <w:spacing w:after="0"/>
              <w:jc w:val="left"/>
            </w:pPr>
            <w:r/>
            <w:r>
              <w:rPr>
                <w:rFonts w:ascii="Calibri" w:hAnsi="Calibri"/>
                <w:b w:val="0"/>
                <w:color w:val="1A1A1A"/>
                <w:sz w:val="24"/>
              </w:rPr>
              <w:t>Transversal</w:t>
            </w:r>
          </w:p>
        </w:tc>
        <w:tc>
          <w:tcPr>
            <w:tcW w:type="dxa" w:w="3324"/>
            <w:shd w:val="clear" w:color="auto" w:fill="F2F5F8"/>
          </w:tcPr>
          <w:p>
            <w:pPr>
              <w:spacing w:after="0"/>
              <w:jc w:val="left"/>
            </w:pPr>
            <w:r/>
            <w:r>
              <w:rPr>
                <w:rFonts w:ascii="Calibri" w:hAnsi="Calibri"/>
                <w:b w:val="0"/>
                <w:color w:val="1A1A1A"/>
                <w:sz w:val="24"/>
              </w:rPr>
              <w:t>Pauta editorial de doze publicações, com regras de conformidade.</w:t>
            </w:r>
          </w:p>
        </w:tc>
      </w:tr>
      <w:tr>
        <w:trPr>
          <w:cantSplit/>
        </w:trPr>
        <w:tc>
          <w:tcPr>
            <w:tcW w:type="dxa" w:w="679"/>
          </w:tcPr>
          <w:p>
            <w:pPr>
              <w:spacing w:after="0"/>
              <w:jc w:val="left"/>
            </w:pPr>
            <w:r/>
            <w:r>
              <w:rPr>
                <w:rFonts w:ascii="Calibri" w:hAnsi="Calibri"/>
                <w:b/>
                <w:color w:val="1A1A1A"/>
                <w:sz w:val="24"/>
              </w:rPr>
              <w:t>16</w:t>
            </w:r>
          </w:p>
        </w:tc>
        <w:tc>
          <w:tcPr>
            <w:tcW w:type="dxa" w:w="3067"/>
          </w:tcPr>
          <w:p>
            <w:pPr>
              <w:spacing w:after="0"/>
              <w:jc w:val="left"/>
            </w:pPr>
            <w:r/>
            <w:r>
              <w:rPr>
                <w:rFonts w:ascii="Calibri" w:hAnsi="Calibri"/>
                <w:b w:val="0"/>
                <w:color w:val="1A1A1A"/>
                <w:sz w:val="24"/>
              </w:rPr>
              <w:t>Proposta HOF Segura Digital</w:t>
            </w:r>
          </w:p>
        </w:tc>
        <w:tc>
          <w:tcPr>
            <w:tcW w:type="dxa" w:w="2002"/>
          </w:tcPr>
          <w:p>
            <w:pPr>
              <w:spacing w:after="0"/>
              <w:jc w:val="left"/>
            </w:pPr>
            <w:r/>
            <w:r>
              <w:rPr>
                <w:rFonts w:ascii="Calibri" w:hAnsi="Calibri"/>
                <w:b w:val="0"/>
                <w:color w:val="1A1A1A"/>
                <w:sz w:val="24"/>
              </w:rPr>
              <w:t>Transversal</w:t>
            </w:r>
          </w:p>
        </w:tc>
        <w:tc>
          <w:tcPr>
            <w:tcW w:type="dxa" w:w="3324"/>
          </w:tcPr>
          <w:p>
            <w:pPr>
              <w:spacing w:after="0"/>
              <w:jc w:val="left"/>
            </w:pPr>
            <w:r/>
            <w:r>
              <w:rPr>
                <w:rFonts w:ascii="Calibri" w:hAnsi="Calibri"/>
                <w:b w:val="0"/>
                <w:color w:val="1A1A1A"/>
                <w:sz w:val="24"/>
              </w:rPr>
              <w:t>Landing page, hub responsivo, governança editorial e fases de implantação.</w:t>
            </w:r>
          </w:p>
        </w:tc>
      </w:tr>
      <w:tr>
        <w:trPr>
          <w:cantSplit/>
        </w:trPr>
        <w:tc>
          <w:tcPr>
            <w:tcW w:type="dxa" w:w="679"/>
            <w:shd w:val="clear" w:color="auto" w:fill="F2F5F8"/>
          </w:tcPr>
          <w:p>
            <w:pPr>
              <w:spacing w:after="0"/>
              <w:jc w:val="left"/>
            </w:pPr>
            <w:r/>
            <w:r>
              <w:rPr>
                <w:rFonts w:ascii="Calibri" w:hAnsi="Calibri"/>
                <w:b/>
                <w:color w:val="1A1A1A"/>
                <w:sz w:val="24"/>
              </w:rPr>
              <w:t>17</w:t>
            </w:r>
          </w:p>
        </w:tc>
        <w:tc>
          <w:tcPr>
            <w:tcW w:type="dxa" w:w="3067"/>
            <w:shd w:val="clear" w:color="auto" w:fill="F2F5F8"/>
          </w:tcPr>
          <w:p>
            <w:pPr>
              <w:spacing w:after="0"/>
              <w:jc w:val="left"/>
            </w:pPr>
            <w:r/>
            <w:r>
              <w:rPr>
                <w:rFonts w:ascii="Calibri" w:hAnsi="Calibri"/>
                <w:b w:val="0"/>
                <w:color w:val="1A1A1A"/>
                <w:sz w:val="24"/>
              </w:rPr>
              <w:t>Pacote de Comunicação HOF Segura</w:t>
            </w:r>
          </w:p>
        </w:tc>
        <w:tc>
          <w:tcPr>
            <w:tcW w:type="dxa" w:w="2002"/>
            <w:shd w:val="clear" w:color="auto" w:fill="F2F5F8"/>
          </w:tcPr>
          <w:p>
            <w:pPr>
              <w:spacing w:after="0"/>
              <w:jc w:val="left"/>
            </w:pPr>
            <w:r/>
            <w:r>
              <w:rPr>
                <w:rFonts w:ascii="Calibri" w:hAnsi="Calibri"/>
                <w:b w:val="0"/>
                <w:color w:val="1A1A1A"/>
                <w:sz w:val="24"/>
              </w:rPr>
              <w:t>Transversal</w:t>
            </w:r>
          </w:p>
        </w:tc>
        <w:tc>
          <w:tcPr>
            <w:tcW w:type="dxa" w:w="3324"/>
            <w:shd w:val="clear" w:color="auto" w:fill="F2F5F8"/>
          </w:tcPr>
          <w:p>
            <w:pPr>
              <w:spacing w:after="0"/>
              <w:jc w:val="left"/>
            </w:pPr>
            <w:r/>
            <w:r>
              <w:rPr>
                <w:rFonts w:ascii="Calibri" w:hAnsi="Calibri"/>
                <w:b w:val="0"/>
                <w:color w:val="1A1A1A"/>
                <w:sz w:val="24"/>
              </w:rPr>
              <w:t>Carrossel de dez cards, roteiro de vídeo e arquivos de mídia.</w:t>
            </w:r>
          </w:p>
        </w:tc>
      </w:tr>
      <w:tr>
        <w:trPr>
          <w:cantSplit/>
        </w:trPr>
        <w:tc>
          <w:tcPr>
            <w:tcW w:type="dxa" w:w="679"/>
          </w:tcPr>
          <w:p>
            <w:pPr>
              <w:spacing w:after="0"/>
              <w:jc w:val="left"/>
            </w:pPr>
            <w:r/>
            <w:r>
              <w:rPr>
                <w:rFonts w:ascii="Calibri" w:hAnsi="Calibri"/>
                <w:b/>
                <w:color w:val="1A1A1A"/>
                <w:sz w:val="24"/>
              </w:rPr>
              <w:t>18</w:t>
            </w:r>
          </w:p>
        </w:tc>
        <w:tc>
          <w:tcPr>
            <w:tcW w:type="dxa" w:w="3067"/>
          </w:tcPr>
          <w:p>
            <w:pPr>
              <w:spacing w:after="0"/>
              <w:jc w:val="left"/>
            </w:pPr>
            <w:r/>
            <w:r>
              <w:rPr>
                <w:rFonts w:ascii="Calibri" w:hAnsi="Calibri"/>
                <w:b w:val="0"/>
                <w:color w:val="1A1A1A"/>
                <w:sz w:val="24"/>
              </w:rPr>
              <w:t>Modelos de Termo de Consentimento</w:t>
            </w:r>
          </w:p>
        </w:tc>
        <w:tc>
          <w:tcPr>
            <w:tcW w:type="dxa" w:w="2002"/>
          </w:tcPr>
          <w:p>
            <w:pPr>
              <w:spacing w:after="0"/>
              <w:jc w:val="left"/>
            </w:pPr>
            <w:r/>
            <w:r>
              <w:rPr>
                <w:rFonts w:ascii="Calibri" w:hAnsi="Calibri"/>
                <w:b w:val="0"/>
                <w:color w:val="1A1A1A"/>
                <w:sz w:val="24"/>
              </w:rPr>
              <w:t>M8</w:t>
            </w:r>
          </w:p>
        </w:tc>
        <w:tc>
          <w:tcPr>
            <w:tcW w:type="dxa" w:w="3324"/>
          </w:tcPr>
          <w:p>
            <w:pPr>
              <w:spacing w:after="0"/>
              <w:jc w:val="left"/>
            </w:pPr>
            <w:r/>
            <w:r>
              <w:rPr>
                <w:rFonts w:ascii="Calibri" w:hAnsi="Calibri"/>
                <w:b w:val="0"/>
                <w:color w:val="1A1A1A"/>
                <w:sz w:val="24"/>
              </w:rPr>
              <w:t>Termo por procedimento, autorização de imagem, termo de uso fora da indicação e cartão de orientação.</w:t>
            </w:r>
          </w:p>
        </w:tc>
      </w:tr>
      <w:tr>
        <w:trPr>
          <w:cantSplit/>
        </w:trPr>
        <w:tc>
          <w:tcPr>
            <w:tcW w:type="dxa" w:w="679"/>
            <w:shd w:val="clear" w:color="auto" w:fill="F2F5F8"/>
          </w:tcPr>
          <w:p>
            <w:pPr>
              <w:spacing w:after="0"/>
              <w:jc w:val="left"/>
            </w:pPr>
            <w:r/>
            <w:r>
              <w:rPr>
                <w:rFonts w:ascii="Calibri" w:hAnsi="Calibri"/>
                <w:b/>
                <w:color w:val="1A1A1A"/>
                <w:sz w:val="24"/>
              </w:rPr>
              <w:t>19</w:t>
            </w:r>
          </w:p>
        </w:tc>
        <w:tc>
          <w:tcPr>
            <w:tcW w:type="dxa" w:w="3067"/>
            <w:shd w:val="clear" w:color="auto" w:fill="F2F5F8"/>
          </w:tcPr>
          <w:p>
            <w:pPr>
              <w:spacing w:after="0"/>
              <w:jc w:val="left"/>
            </w:pPr>
            <w:r/>
            <w:r>
              <w:rPr>
                <w:rFonts w:ascii="Calibri" w:hAnsi="Calibri"/>
                <w:b w:val="0"/>
                <w:color w:val="1A1A1A"/>
                <w:sz w:val="24"/>
              </w:rPr>
              <w:t>Instrumentos Operacionais do Serviço</w:t>
            </w:r>
          </w:p>
        </w:tc>
        <w:tc>
          <w:tcPr>
            <w:tcW w:type="dxa" w:w="2002"/>
            <w:shd w:val="clear" w:color="auto" w:fill="F2F5F8"/>
          </w:tcPr>
          <w:p>
            <w:pPr>
              <w:spacing w:after="0"/>
              <w:jc w:val="left"/>
            </w:pPr>
            <w:r/>
            <w:r>
              <w:rPr>
                <w:rFonts w:ascii="Calibri" w:hAnsi="Calibri"/>
                <w:b w:val="0"/>
                <w:color w:val="1A1A1A"/>
                <w:sz w:val="24"/>
              </w:rPr>
              <w:t>M4, M6</w:t>
            </w:r>
          </w:p>
        </w:tc>
        <w:tc>
          <w:tcPr>
            <w:tcW w:type="dxa" w:w="3324"/>
            <w:shd w:val="clear" w:color="auto" w:fill="F2F5F8"/>
          </w:tcPr>
          <w:p>
            <w:pPr>
              <w:spacing w:after="0"/>
              <w:jc w:val="left"/>
            </w:pPr>
            <w:r/>
            <w:r>
              <w:rPr>
                <w:rFonts w:ascii="Calibri" w:hAnsi="Calibri"/>
                <w:b w:val="0"/>
                <w:color w:val="1A1A1A"/>
                <w:sz w:val="24"/>
              </w:rPr>
              <w:t>Registro de intercorrência, ficha de notificação, dossiê de tecnologia e plano de capacitação.</w:t>
            </w:r>
          </w:p>
        </w:tc>
      </w:tr>
      <w:tr>
        <w:trPr>
          <w:cantSplit/>
        </w:trPr>
        <w:tc>
          <w:tcPr>
            <w:tcW w:type="dxa" w:w="679"/>
          </w:tcPr>
          <w:p>
            <w:pPr>
              <w:spacing w:after="0"/>
              <w:jc w:val="left"/>
            </w:pPr>
            <w:r/>
            <w:r>
              <w:rPr>
                <w:rFonts w:ascii="Calibri" w:hAnsi="Calibri"/>
                <w:b/>
                <w:color w:val="1A1A1A"/>
                <w:sz w:val="24"/>
              </w:rPr>
              <w:t>20</w:t>
            </w:r>
          </w:p>
        </w:tc>
        <w:tc>
          <w:tcPr>
            <w:tcW w:type="dxa" w:w="3067"/>
          </w:tcPr>
          <w:p>
            <w:pPr>
              <w:spacing w:after="0"/>
              <w:jc w:val="left"/>
            </w:pPr>
            <w:r/>
            <w:r>
              <w:rPr>
                <w:rFonts w:ascii="Calibri" w:hAnsi="Calibri"/>
                <w:b w:val="0"/>
                <w:color w:val="1A1A1A"/>
                <w:sz w:val="24"/>
              </w:rPr>
              <w:t>Caderno de POPs Completo</w:t>
            </w:r>
          </w:p>
        </w:tc>
        <w:tc>
          <w:tcPr>
            <w:tcW w:type="dxa" w:w="2002"/>
          </w:tcPr>
          <w:p>
            <w:pPr>
              <w:spacing w:after="0"/>
              <w:jc w:val="left"/>
            </w:pPr>
            <w:r/>
            <w:r>
              <w:rPr>
                <w:rFonts w:ascii="Calibri" w:hAnsi="Calibri"/>
                <w:b w:val="0"/>
                <w:color w:val="1A1A1A"/>
                <w:sz w:val="24"/>
              </w:rPr>
              <w:t>M1, M5, M7</w:t>
            </w:r>
          </w:p>
        </w:tc>
        <w:tc>
          <w:tcPr>
            <w:tcW w:type="dxa" w:w="3324"/>
          </w:tcPr>
          <w:p>
            <w:pPr>
              <w:spacing w:after="0"/>
              <w:jc w:val="left"/>
            </w:pPr>
            <w:r/>
            <w:r>
              <w:rPr>
                <w:rFonts w:ascii="Calibri" w:hAnsi="Calibri"/>
                <w:b w:val="0"/>
                <w:color w:val="1A1A1A"/>
                <w:sz w:val="24"/>
              </w:rPr>
              <w:t>Vinte e um POPs com os doze campos preenchidos, mais arquivos individuais.</w:t>
            </w:r>
          </w:p>
        </w:tc>
      </w:tr>
      <w:tr>
        <w:trPr>
          <w:cantSplit/>
        </w:trPr>
        <w:tc>
          <w:tcPr>
            <w:tcW w:type="dxa" w:w="679"/>
            <w:shd w:val="clear" w:color="auto" w:fill="F2F5F8"/>
          </w:tcPr>
          <w:p>
            <w:pPr>
              <w:spacing w:after="0"/>
              <w:jc w:val="left"/>
            </w:pPr>
            <w:r/>
            <w:r>
              <w:rPr>
                <w:rFonts w:ascii="Calibri" w:hAnsi="Calibri"/>
                <w:b/>
                <w:color w:val="1A1A1A"/>
                <w:sz w:val="24"/>
              </w:rPr>
              <w:t>21</w:t>
            </w:r>
          </w:p>
        </w:tc>
        <w:tc>
          <w:tcPr>
            <w:tcW w:type="dxa" w:w="3067"/>
            <w:shd w:val="clear" w:color="auto" w:fill="F2F5F8"/>
          </w:tcPr>
          <w:p>
            <w:pPr>
              <w:spacing w:after="0"/>
              <w:jc w:val="left"/>
            </w:pPr>
            <w:r/>
            <w:r>
              <w:rPr>
                <w:rFonts w:ascii="Calibri" w:hAnsi="Calibri"/>
                <w:b w:val="0"/>
                <w:color w:val="1A1A1A"/>
                <w:sz w:val="24"/>
              </w:rPr>
              <w:t>Cartões de Consulta Rápida</w:t>
            </w:r>
          </w:p>
        </w:tc>
        <w:tc>
          <w:tcPr>
            <w:tcW w:type="dxa" w:w="2002"/>
            <w:shd w:val="clear" w:color="auto" w:fill="F2F5F8"/>
          </w:tcPr>
          <w:p>
            <w:pPr>
              <w:spacing w:after="0"/>
              <w:jc w:val="left"/>
            </w:pPr>
            <w:r/>
            <w:r>
              <w:rPr>
                <w:rFonts w:ascii="Calibri" w:hAnsi="Calibri"/>
                <w:b w:val="0"/>
                <w:color w:val="1A1A1A"/>
                <w:sz w:val="24"/>
              </w:rPr>
              <w:t>M5</w:t>
            </w:r>
          </w:p>
        </w:tc>
        <w:tc>
          <w:tcPr>
            <w:tcW w:type="dxa" w:w="3324"/>
            <w:shd w:val="clear" w:color="auto" w:fill="F2F5F8"/>
          </w:tcPr>
          <w:p>
            <w:pPr>
              <w:spacing w:after="0"/>
              <w:jc w:val="left"/>
            </w:pPr>
            <w:r/>
            <w:r>
              <w:rPr>
                <w:rFonts w:ascii="Calibri" w:hAnsi="Calibri"/>
                <w:b w:val="0"/>
                <w:color w:val="1A1A1A"/>
                <w:sz w:val="24"/>
              </w:rPr>
              <w:t>Seis cartões de página única derivados dos POPs, para consulta sob pressão de tempo.</w:t>
            </w:r>
          </w:p>
        </w:tc>
      </w:tr>
      <w:tr>
        <w:trPr>
          <w:cantSplit/>
        </w:trPr>
        <w:tc>
          <w:tcPr>
            <w:tcW w:type="dxa" w:w="679"/>
          </w:tcPr>
          <w:p>
            <w:pPr>
              <w:spacing w:after="0"/>
              <w:jc w:val="left"/>
            </w:pPr>
            <w:r/>
            <w:r>
              <w:rPr>
                <w:rFonts w:ascii="Calibri" w:hAnsi="Calibri"/>
                <w:b/>
                <w:color w:val="1A1A1A"/>
                <w:sz w:val="24"/>
              </w:rPr>
              <w:t>22</w:t>
            </w:r>
          </w:p>
        </w:tc>
        <w:tc>
          <w:tcPr>
            <w:tcW w:type="dxa" w:w="3067"/>
          </w:tcPr>
          <w:p>
            <w:pPr>
              <w:spacing w:after="0"/>
              <w:jc w:val="left"/>
            </w:pPr>
            <w:r/>
            <w:r>
              <w:rPr>
                <w:rFonts w:ascii="Calibri" w:hAnsi="Calibri"/>
                <w:b w:val="0"/>
                <w:color w:val="1A1A1A"/>
                <w:sz w:val="24"/>
              </w:rPr>
              <w:t>Guia de Implantação no Serviço</w:t>
            </w:r>
          </w:p>
        </w:tc>
        <w:tc>
          <w:tcPr>
            <w:tcW w:type="dxa" w:w="2002"/>
          </w:tcPr>
          <w:p>
            <w:pPr>
              <w:spacing w:after="0"/>
              <w:jc w:val="left"/>
            </w:pPr>
            <w:r/>
            <w:r>
              <w:rPr>
                <w:rFonts w:ascii="Calibri" w:hAnsi="Calibri"/>
                <w:b w:val="0"/>
                <w:color w:val="1A1A1A"/>
                <w:sz w:val="24"/>
              </w:rPr>
              <w:t>Adicional</w:t>
            </w:r>
          </w:p>
        </w:tc>
        <w:tc>
          <w:tcPr>
            <w:tcW w:type="dxa" w:w="3324"/>
          </w:tcPr>
          <w:p>
            <w:pPr>
              <w:spacing w:after="0"/>
              <w:jc w:val="left"/>
            </w:pPr>
            <w:r/>
            <w:r>
              <w:rPr>
                <w:rFonts w:ascii="Calibri" w:hAnsi="Calibri"/>
                <w:b w:val="0"/>
                <w:color w:val="1A1A1A"/>
                <w:sz w:val="24"/>
              </w:rPr>
              <w:t>Roteiro de noventa dias e autoavaliação para o Responsável Técnico.</w:t>
            </w:r>
          </w:p>
        </w:tc>
      </w:tr>
      <w:tr>
        <w:trPr>
          <w:cantSplit/>
        </w:trPr>
        <w:tc>
          <w:tcPr>
            <w:tcW w:type="dxa" w:w="679"/>
            <w:shd w:val="clear" w:color="auto" w:fill="F2F5F8"/>
          </w:tcPr>
          <w:p>
            <w:pPr>
              <w:spacing w:after="0"/>
              <w:jc w:val="left"/>
            </w:pPr>
            <w:r/>
            <w:r>
              <w:rPr>
                <w:rFonts w:ascii="Calibri" w:hAnsi="Calibri"/>
                <w:b/>
                <w:color w:val="1A1A1A"/>
                <w:sz w:val="24"/>
              </w:rPr>
              <w:t>23</w:t>
            </w:r>
          </w:p>
        </w:tc>
        <w:tc>
          <w:tcPr>
            <w:tcW w:type="dxa" w:w="3067"/>
            <w:shd w:val="clear" w:color="auto" w:fill="F2F5F8"/>
          </w:tcPr>
          <w:p>
            <w:pPr>
              <w:spacing w:after="0"/>
              <w:jc w:val="left"/>
            </w:pPr>
            <w:r/>
            <w:r>
              <w:rPr>
                <w:rFonts w:ascii="Calibri" w:hAnsi="Calibri"/>
                <w:b w:val="0"/>
                <w:color w:val="1A1A1A"/>
                <w:sz w:val="24"/>
              </w:rPr>
              <w:t>Relatório de Prestação de Contas do Ciclo</w:t>
            </w:r>
          </w:p>
        </w:tc>
        <w:tc>
          <w:tcPr>
            <w:tcW w:type="dxa" w:w="2002"/>
            <w:shd w:val="clear" w:color="auto" w:fill="F2F5F8"/>
          </w:tcPr>
          <w:p>
            <w:pPr>
              <w:spacing w:after="0"/>
              <w:jc w:val="left"/>
            </w:pPr>
            <w:r/>
            <w:r>
              <w:rPr>
                <w:rFonts w:ascii="Calibri" w:hAnsi="Calibri"/>
                <w:b w:val="0"/>
                <w:color w:val="1A1A1A"/>
                <w:sz w:val="24"/>
              </w:rPr>
              <w:t>M11, M12</w:t>
            </w:r>
          </w:p>
        </w:tc>
        <w:tc>
          <w:tcPr>
            <w:tcW w:type="dxa" w:w="3324"/>
            <w:shd w:val="clear" w:color="auto" w:fill="F2F5F8"/>
          </w:tcPr>
          <w:p>
            <w:pPr>
              <w:spacing w:after="0"/>
              <w:jc w:val="left"/>
            </w:pPr>
            <w:r/>
            <w:r>
              <w:rPr>
                <w:rFonts w:ascii="Calibri" w:hAnsi="Calibri"/>
                <w:b w:val="0"/>
                <w:color w:val="1A1A1A"/>
                <w:sz w:val="24"/>
              </w:rPr>
              <w:t>Estrutura de fechamento, com cobertura das doze metas e indicadores.</w:t>
            </w:r>
          </w:p>
        </w:tc>
      </w:tr>
      <w:tr>
        <w:trPr>
          <w:cantSplit/>
        </w:trPr>
        <w:tc>
          <w:tcPr>
            <w:tcW w:type="dxa" w:w="679"/>
          </w:tcPr>
          <w:p>
            <w:pPr>
              <w:spacing w:after="0"/>
              <w:jc w:val="left"/>
            </w:pPr>
            <w:r/>
            <w:r>
              <w:rPr>
                <w:rFonts w:ascii="Calibri" w:hAnsi="Calibri"/>
                <w:b/>
                <w:color w:val="1A1A1A"/>
                <w:sz w:val="24"/>
              </w:rPr>
              <w:t>24</w:t>
            </w:r>
          </w:p>
        </w:tc>
        <w:tc>
          <w:tcPr>
            <w:tcW w:type="dxa" w:w="3067"/>
          </w:tcPr>
          <w:p>
            <w:pPr>
              <w:spacing w:after="0"/>
              <w:jc w:val="left"/>
            </w:pPr>
            <w:r/>
            <w:r>
              <w:rPr>
                <w:rFonts w:ascii="Calibri" w:hAnsi="Calibri"/>
                <w:b w:val="0"/>
                <w:color w:val="1A1A1A"/>
                <w:sz w:val="24"/>
              </w:rPr>
              <w:t>Caderno de Atas e Controle de Reuniões</w:t>
            </w:r>
          </w:p>
        </w:tc>
        <w:tc>
          <w:tcPr>
            <w:tcW w:type="dxa" w:w="2002"/>
          </w:tcPr>
          <w:p>
            <w:pPr>
              <w:spacing w:after="0"/>
              <w:jc w:val="left"/>
            </w:pPr>
            <w:r/>
            <w:r>
              <w:rPr>
                <w:rFonts w:ascii="Calibri" w:hAnsi="Calibri"/>
                <w:b w:val="0"/>
                <w:color w:val="1A1A1A"/>
                <w:sz w:val="24"/>
              </w:rPr>
              <w:t>M12</w:t>
            </w:r>
          </w:p>
        </w:tc>
        <w:tc>
          <w:tcPr>
            <w:tcW w:type="dxa" w:w="3324"/>
          </w:tcPr>
          <w:p>
            <w:pPr>
              <w:spacing w:after="0"/>
              <w:jc w:val="left"/>
            </w:pPr>
            <w:r/>
            <w:r>
              <w:rPr>
                <w:rFonts w:ascii="Calibri" w:hAnsi="Calibri"/>
                <w:b w:val="0"/>
                <w:color w:val="1A1A1A"/>
                <w:sz w:val="24"/>
              </w:rPr>
              <w:t>Modelo padronizado de ata, controle das seis reuniões e pauta mínima por reunião.</w:t>
            </w:r>
          </w:p>
        </w:tc>
      </w:tr>
      <w:tr>
        <w:trPr>
          <w:cantSplit/>
        </w:trPr>
        <w:tc>
          <w:tcPr>
            <w:tcW w:type="dxa" w:w="679"/>
            <w:shd w:val="clear" w:color="auto" w:fill="F2F5F8"/>
          </w:tcPr>
          <w:p>
            <w:pPr>
              <w:spacing w:after="0"/>
              <w:jc w:val="left"/>
            </w:pPr>
            <w:r/>
            <w:r>
              <w:rPr>
                <w:rFonts w:ascii="Calibri" w:hAnsi="Calibri"/>
                <w:b/>
                <w:color w:val="1A1A1A"/>
                <w:sz w:val="24"/>
              </w:rPr>
              <w:t>25</w:t>
            </w:r>
          </w:p>
        </w:tc>
        <w:tc>
          <w:tcPr>
            <w:tcW w:type="dxa" w:w="3067"/>
            <w:shd w:val="clear" w:color="auto" w:fill="F2F5F8"/>
          </w:tcPr>
          <w:p>
            <w:pPr>
              <w:spacing w:after="0"/>
              <w:jc w:val="left"/>
            </w:pPr>
            <w:r/>
            <w:r>
              <w:rPr>
                <w:rFonts w:ascii="Calibri" w:hAnsi="Calibri"/>
                <w:b w:val="0"/>
                <w:color w:val="1A1A1A"/>
                <w:sz w:val="24"/>
              </w:rPr>
              <w:t>Dossiê de Submissão à Diretoria Executiva</w:t>
            </w:r>
          </w:p>
        </w:tc>
        <w:tc>
          <w:tcPr>
            <w:tcW w:type="dxa" w:w="2002"/>
            <w:shd w:val="clear" w:color="auto" w:fill="F2F5F8"/>
          </w:tcPr>
          <w:p>
            <w:pPr>
              <w:spacing w:after="0"/>
              <w:jc w:val="left"/>
            </w:pPr>
            <w:r/>
            <w:r>
              <w:rPr>
                <w:rFonts w:ascii="Calibri" w:hAnsi="Calibri"/>
                <w:b w:val="0"/>
                <w:color w:val="1A1A1A"/>
                <w:sz w:val="24"/>
              </w:rPr>
              <w:t>M10</w:t>
            </w:r>
          </w:p>
        </w:tc>
        <w:tc>
          <w:tcPr>
            <w:tcW w:type="dxa" w:w="3324"/>
            <w:shd w:val="clear" w:color="auto" w:fill="F2F5F8"/>
          </w:tcPr>
          <w:p>
            <w:pPr>
              <w:spacing w:after="0"/>
              <w:jc w:val="left"/>
            </w:pPr>
            <w:r/>
            <w:r>
              <w:rPr>
                <w:rFonts w:ascii="Calibri" w:hAnsi="Calibri"/>
                <w:b w:val="0"/>
                <w:color w:val="1A1A1A"/>
                <w:sz w:val="24"/>
              </w:rPr>
              <w:t>Ofício de encaminhamento, relação de produtos, pendências e termo de entrega.</w:t>
            </w:r>
          </w:p>
        </w:tc>
      </w:tr>
      <w:tr>
        <w:trPr>
          <w:cantSplit/>
        </w:trPr>
        <w:tc>
          <w:tcPr>
            <w:tcW w:type="dxa" w:w="679"/>
          </w:tcPr>
          <w:p>
            <w:pPr>
              <w:spacing w:after="0"/>
              <w:jc w:val="left"/>
            </w:pPr>
            <w:r/>
            <w:r>
              <w:rPr>
                <w:rFonts w:ascii="Calibri" w:hAnsi="Calibri"/>
                <w:b/>
                <w:color w:val="1A1A1A"/>
                <w:sz w:val="24"/>
              </w:rPr>
              <w:t>26</w:t>
            </w:r>
          </w:p>
        </w:tc>
        <w:tc>
          <w:tcPr>
            <w:tcW w:type="dxa" w:w="3067"/>
          </w:tcPr>
          <w:p>
            <w:pPr>
              <w:spacing w:after="0"/>
              <w:jc w:val="left"/>
            </w:pPr>
            <w:r/>
            <w:r>
              <w:rPr>
                <w:rFonts w:ascii="Calibri" w:hAnsi="Calibri"/>
                <w:b w:val="0"/>
                <w:color w:val="1A1A1A"/>
                <w:sz w:val="24"/>
              </w:rPr>
              <w:t>Plano do Fórum de Tecnologias Emergentes</w:t>
            </w:r>
          </w:p>
        </w:tc>
        <w:tc>
          <w:tcPr>
            <w:tcW w:type="dxa" w:w="2002"/>
          </w:tcPr>
          <w:p>
            <w:pPr>
              <w:spacing w:after="0"/>
              <w:jc w:val="left"/>
            </w:pPr>
            <w:r/>
            <w:r>
              <w:rPr>
                <w:rFonts w:ascii="Calibri" w:hAnsi="Calibri"/>
                <w:b w:val="0"/>
                <w:color w:val="1A1A1A"/>
                <w:sz w:val="24"/>
              </w:rPr>
              <w:t>M11</w:t>
            </w:r>
          </w:p>
        </w:tc>
        <w:tc>
          <w:tcPr>
            <w:tcW w:type="dxa" w:w="3324"/>
          </w:tcPr>
          <w:p>
            <w:pPr>
              <w:spacing w:after="0"/>
              <w:jc w:val="left"/>
            </w:pPr>
            <w:r/>
            <w:r>
              <w:rPr>
                <w:rFonts w:ascii="Calibri" w:hAnsi="Calibri"/>
                <w:b w:val="0"/>
                <w:color w:val="1A1A1A"/>
                <w:sz w:val="24"/>
              </w:rPr>
              <w:t>Programa, produção, material do participante, indicadores e ata de entrega.</w:t>
            </w:r>
          </w:p>
        </w:tc>
      </w:tr>
      <w:tr>
        <w:trPr>
          <w:cantSplit/>
        </w:trPr>
        <w:tc>
          <w:tcPr>
            <w:tcW w:type="dxa" w:w="679"/>
            <w:shd w:val="clear" w:color="auto" w:fill="F2F5F8"/>
          </w:tcPr>
          <w:p>
            <w:pPr>
              <w:spacing w:after="0"/>
              <w:jc w:val="left"/>
            </w:pPr>
            <w:r/>
            <w:r>
              <w:rPr>
                <w:rFonts w:ascii="Calibri" w:hAnsi="Calibri"/>
                <w:b/>
                <w:color w:val="1A1A1A"/>
                <w:sz w:val="24"/>
              </w:rPr>
              <w:t>27</w:t>
            </w:r>
          </w:p>
        </w:tc>
        <w:tc>
          <w:tcPr>
            <w:tcW w:type="dxa" w:w="3067"/>
            <w:shd w:val="clear" w:color="auto" w:fill="F2F5F8"/>
          </w:tcPr>
          <w:p>
            <w:pPr>
              <w:spacing w:after="0"/>
              <w:jc w:val="left"/>
            </w:pPr>
            <w:r/>
            <w:r>
              <w:rPr>
                <w:rFonts w:ascii="Calibri" w:hAnsi="Calibri"/>
                <w:b w:val="0"/>
                <w:color w:val="1A1A1A"/>
                <w:sz w:val="24"/>
              </w:rPr>
              <w:t>Nota Técnica sobre Conformidade Regulatória</w:t>
            </w:r>
          </w:p>
        </w:tc>
        <w:tc>
          <w:tcPr>
            <w:tcW w:type="dxa" w:w="2002"/>
            <w:shd w:val="clear" w:color="auto" w:fill="F2F5F8"/>
          </w:tcPr>
          <w:p>
            <w:pPr>
              <w:spacing w:after="0"/>
              <w:jc w:val="left"/>
            </w:pPr>
            <w:r/>
            <w:r>
              <w:rPr>
                <w:rFonts w:ascii="Calibri" w:hAnsi="Calibri"/>
                <w:b w:val="0"/>
                <w:color w:val="1A1A1A"/>
                <w:sz w:val="24"/>
              </w:rPr>
              <w:t>Compromisso de setembro</w:t>
            </w:r>
          </w:p>
        </w:tc>
        <w:tc>
          <w:tcPr>
            <w:tcW w:type="dxa" w:w="3324"/>
            <w:shd w:val="clear" w:color="auto" w:fill="F2F5F8"/>
          </w:tcPr>
          <w:p>
            <w:pPr>
              <w:spacing w:after="0"/>
              <w:jc w:val="left"/>
            </w:pPr>
            <w:r/>
            <w:r>
              <w:rPr>
                <w:rFonts w:ascii="Calibri" w:hAnsi="Calibri"/>
                <w:b w:val="0"/>
                <w:color w:val="1A1A1A"/>
                <w:sz w:val="24"/>
              </w:rPr>
              <w:t>Roteiro objetivo de verificação regulatória para circulação ampla.</w:t>
            </w:r>
          </w:p>
        </w:tc>
      </w:tr>
      <w:tr>
        <w:trPr>
          <w:cantSplit/>
        </w:trPr>
        <w:tc>
          <w:tcPr>
            <w:tcW w:type="dxa" w:w="679"/>
          </w:tcPr>
          <w:p>
            <w:pPr>
              <w:spacing w:after="0"/>
              <w:jc w:val="left"/>
            </w:pPr>
            <w:r/>
            <w:r>
              <w:rPr>
                <w:rFonts w:ascii="Calibri" w:hAnsi="Calibri"/>
                <w:b/>
                <w:color w:val="1A1A1A"/>
                <w:sz w:val="24"/>
              </w:rPr>
              <w:t>28</w:t>
            </w:r>
          </w:p>
        </w:tc>
        <w:tc>
          <w:tcPr>
            <w:tcW w:type="dxa" w:w="3067"/>
          </w:tcPr>
          <w:p>
            <w:pPr>
              <w:spacing w:after="0"/>
              <w:jc w:val="left"/>
            </w:pPr>
            <w:r/>
            <w:r>
              <w:rPr>
                <w:rFonts w:ascii="Calibri" w:hAnsi="Calibri"/>
                <w:b w:val="0"/>
                <w:color w:val="1A1A1A"/>
                <w:sz w:val="24"/>
              </w:rPr>
              <w:t>Comunicado sobre Uso Fora da Indicação Aprovada</w:t>
            </w:r>
          </w:p>
        </w:tc>
        <w:tc>
          <w:tcPr>
            <w:tcW w:type="dxa" w:w="2002"/>
          </w:tcPr>
          <w:p>
            <w:pPr>
              <w:spacing w:after="0"/>
              <w:jc w:val="left"/>
            </w:pPr>
            <w:r/>
            <w:r>
              <w:rPr>
                <w:rFonts w:ascii="Calibri" w:hAnsi="Calibri"/>
                <w:b w:val="0"/>
                <w:color w:val="1A1A1A"/>
                <w:sz w:val="24"/>
              </w:rPr>
              <w:t>Compromisso de outubro</w:t>
            </w:r>
          </w:p>
        </w:tc>
        <w:tc>
          <w:tcPr>
            <w:tcW w:type="dxa" w:w="3324"/>
          </w:tcPr>
          <w:p>
            <w:pPr>
              <w:spacing w:after="0"/>
              <w:jc w:val="left"/>
            </w:pPr>
            <w:r/>
            <w:r>
              <w:rPr>
                <w:rFonts w:ascii="Calibri" w:hAnsi="Calibri"/>
                <w:b w:val="0"/>
                <w:color w:val="1A1A1A"/>
                <w:sz w:val="24"/>
              </w:rPr>
              <w:t>Distinção entre uso conforme, fora da indicação, protocolo autoral e produto irregular.</w:t>
            </w:r>
          </w:p>
        </w:tc>
      </w:tr>
      <w:tr>
        <w:trPr>
          <w:cantSplit/>
        </w:trPr>
        <w:tc>
          <w:tcPr>
            <w:tcW w:type="dxa" w:w="679"/>
            <w:shd w:val="clear" w:color="auto" w:fill="F2F5F8"/>
          </w:tcPr>
          <w:p>
            <w:pPr>
              <w:spacing w:after="0"/>
              <w:jc w:val="left"/>
            </w:pPr>
            <w:r/>
            <w:r>
              <w:rPr>
                <w:rFonts w:ascii="Calibri" w:hAnsi="Calibri"/>
                <w:b/>
                <w:color w:val="1A1A1A"/>
                <w:sz w:val="24"/>
              </w:rPr>
              <w:t>29</w:t>
            </w:r>
          </w:p>
        </w:tc>
        <w:tc>
          <w:tcPr>
            <w:tcW w:type="dxa" w:w="3067"/>
            <w:shd w:val="clear" w:color="auto" w:fill="F2F5F8"/>
          </w:tcPr>
          <w:p>
            <w:pPr>
              <w:spacing w:after="0"/>
              <w:jc w:val="left"/>
            </w:pPr>
            <w:r/>
            <w:r>
              <w:rPr>
                <w:rFonts w:ascii="Calibri" w:hAnsi="Calibri"/>
                <w:b w:val="0"/>
                <w:color w:val="1A1A1A"/>
                <w:sz w:val="24"/>
              </w:rPr>
              <w:t>Roteiros e Relatórios de Simulação</w:t>
            </w:r>
          </w:p>
        </w:tc>
        <w:tc>
          <w:tcPr>
            <w:tcW w:type="dxa" w:w="2002"/>
            <w:shd w:val="clear" w:color="auto" w:fill="F2F5F8"/>
          </w:tcPr>
          <w:p>
            <w:pPr>
              <w:spacing w:after="0"/>
              <w:jc w:val="left"/>
            </w:pPr>
            <w:r/>
            <w:r>
              <w:rPr>
                <w:rFonts w:ascii="Calibri" w:hAnsi="Calibri"/>
                <w:b w:val="0"/>
                <w:color w:val="1A1A1A"/>
                <w:sz w:val="24"/>
              </w:rPr>
              <w:t>Compromisso de novembro</w:t>
            </w:r>
          </w:p>
        </w:tc>
        <w:tc>
          <w:tcPr>
            <w:tcW w:type="dxa" w:w="3324"/>
            <w:shd w:val="clear" w:color="auto" w:fill="F2F5F8"/>
          </w:tcPr>
          <w:p>
            <w:pPr>
              <w:spacing w:after="0"/>
              <w:jc w:val="left"/>
            </w:pPr>
            <w:r/>
            <w:r>
              <w:rPr>
                <w:rFonts w:ascii="Calibri" w:hAnsi="Calibri"/>
                <w:b w:val="0"/>
                <w:color w:val="1A1A1A"/>
                <w:sz w:val="24"/>
              </w:rPr>
              <w:t>Duas simulações com roteiro, grade de observação e modelo de relatório.</w:t>
            </w:r>
          </w:p>
        </w:tc>
      </w:tr>
      <w:tr>
        <w:trPr>
          <w:cantSplit/>
        </w:trPr>
        <w:tc>
          <w:tcPr>
            <w:tcW w:type="dxa" w:w="679"/>
          </w:tcPr>
          <w:p>
            <w:pPr>
              <w:spacing w:after="0"/>
              <w:jc w:val="left"/>
            </w:pPr>
            <w:r/>
            <w:r>
              <w:rPr>
                <w:rFonts w:ascii="Calibri" w:hAnsi="Calibri"/>
                <w:b/>
                <w:color w:val="1A1A1A"/>
                <w:sz w:val="24"/>
              </w:rPr>
              <w:t>30</w:t>
            </w:r>
          </w:p>
        </w:tc>
        <w:tc>
          <w:tcPr>
            <w:tcW w:type="dxa" w:w="3067"/>
          </w:tcPr>
          <w:p>
            <w:pPr>
              <w:spacing w:after="0"/>
              <w:jc w:val="left"/>
            </w:pPr>
            <w:r/>
            <w:r>
              <w:rPr>
                <w:rFonts w:ascii="Calibri" w:hAnsi="Calibri"/>
                <w:b w:val="0"/>
                <w:color w:val="1A1A1A"/>
                <w:sz w:val="24"/>
              </w:rPr>
              <w:t>Política de IA e Proteção de Dados</w:t>
            </w:r>
          </w:p>
        </w:tc>
        <w:tc>
          <w:tcPr>
            <w:tcW w:type="dxa" w:w="2002"/>
          </w:tcPr>
          <w:p>
            <w:pPr>
              <w:spacing w:after="0"/>
              <w:jc w:val="left"/>
            </w:pPr>
            <w:r/>
            <w:r>
              <w:rPr>
                <w:rFonts w:ascii="Calibri" w:hAnsi="Calibri"/>
                <w:b w:val="0"/>
                <w:color w:val="1A1A1A"/>
                <w:sz w:val="24"/>
              </w:rPr>
              <w:t>Indicador de governança digital</w:t>
            </w:r>
          </w:p>
        </w:tc>
        <w:tc>
          <w:tcPr>
            <w:tcW w:type="dxa" w:w="3324"/>
          </w:tcPr>
          <w:p>
            <w:pPr>
              <w:spacing w:after="0"/>
              <w:jc w:val="left"/>
            </w:pPr>
            <w:r/>
            <w:r>
              <w:rPr>
                <w:rFonts w:ascii="Calibri" w:hAnsi="Calibri"/>
                <w:b w:val="0"/>
                <w:color w:val="1A1A1A"/>
                <w:sz w:val="24"/>
              </w:rPr>
              <w:t>Princípios de uso de inteligência artificial e checklist de proteção de dados.</w:t>
            </w:r>
          </w:p>
        </w:tc>
      </w:tr>
      <w:tr>
        <w:trPr>
          <w:cantSplit/>
        </w:trPr>
        <w:tc>
          <w:tcPr>
            <w:tcW w:type="dxa" w:w="679"/>
            <w:shd w:val="clear" w:color="auto" w:fill="F2F5F8"/>
          </w:tcPr>
          <w:p>
            <w:pPr>
              <w:spacing w:after="0"/>
              <w:jc w:val="left"/>
            </w:pPr>
            <w:r/>
            <w:r>
              <w:rPr>
                <w:rFonts w:ascii="Calibri" w:hAnsi="Calibri"/>
                <w:b/>
                <w:color w:val="1A1A1A"/>
                <w:sz w:val="24"/>
              </w:rPr>
              <w:t>31</w:t>
            </w:r>
          </w:p>
        </w:tc>
        <w:tc>
          <w:tcPr>
            <w:tcW w:type="dxa" w:w="3067"/>
            <w:shd w:val="clear" w:color="auto" w:fill="F2F5F8"/>
          </w:tcPr>
          <w:p>
            <w:pPr>
              <w:spacing w:after="0"/>
              <w:jc w:val="left"/>
            </w:pPr>
            <w:r/>
            <w:r>
              <w:rPr>
                <w:rFonts w:ascii="Calibri" w:hAnsi="Calibri"/>
                <w:b w:val="0"/>
                <w:color w:val="1A1A1A"/>
                <w:sz w:val="24"/>
              </w:rPr>
              <w:t>Carrossel Institucional HOF Segura</w:t>
            </w:r>
          </w:p>
        </w:tc>
        <w:tc>
          <w:tcPr>
            <w:tcW w:type="dxa" w:w="2002"/>
            <w:shd w:val="clear" w:color="auto" w:fill="F2F5F8"/>
          </w:tcPr>
          <w:p>
            <w:pPr>
              <w:spacing w:after="0"/>
              <w:jc w:val="left"/>
            </w:pPr>
            <w:r/>
            <w:r>
              <w:rPr>
                <w:rFonts w:ascii="Calibri" w:hAnsi="Calibri"/>
                <w:b w:val="0"/>
                <w:color w:val="1A1A1A"/>
                <w:sz w:val="24"/>
              </w:rPr>
              <w:t>Transversal</w:t>
            </w:r>
          </w:p>
        </w:tc>
        <w:tc>
          <w:tcPr>
            <w:tcW w:type="dxa" w:w="3324"/>
            <w:shd w:val="clear" w:color="auto" w:fill="F2F5F8"/>
          </w:tcPr>
          <w:p>
            <w:pPr>
              <w:spacing w:after="0"/>
              <w:jc w:val="left"/>
            </w:pPr>
            <w:r/>
            <w:r>
              <w:rPr>
                <w:rFonts w:ascii="Calibri" w:hAnsi="Calibri"/>
                <w:b w:val="0"/>
                <w:color w:val="1A1A1A"/>
                <w:sz w:val="24"/>
              </w:rPr>
              <w:t>Sequência definitiva de doze cards, com arquivos separados por situação de publicação e especificação de reexportação.</w:t>
            </w:r>
          </w:p>
        </w:tc>
      </w:tr>
    </w:tbl>
    <w:p>
      <w:r>
        <w:br w:type="page"/>
      </w:r>
    </w:p>
    <w:p>
      <w:pPr>
        <w:keepNext/>
        <w:spacing w:before="360" w:after="160"/>
        <w:jc w:val="left"/>
        <w:pBdr>
          <w:bottom w:val="single" w:sz="8" w:space="4" w:color="143C64"/>
        </w:pBdr>
      </w:pPr>
      <w:r>
        <w:rPr>
          <w:rFonts w:ascii="Calibri" w:hAnsi="Calibri"/>
          <w:b/>
          <w:color w:val="143C64"/>
          <w:sz w:val="30"/>
        </w:rPr>
        <w:t>3  Cobertura das metas do ciclo</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1037"/>
        <w:gridCol w:w="3134"/>
        <w:gridCol w:w="1802"/>
        <w:gridCol w:w="3099"/>
      </w:tblGrid>
      <w:tr>
        <w:trPr>
          <w:cantSplit/>
          <w:tblHeader/>
        </w:trPr>
        <w:tc>
          <w:tcPr>
            <w:tcW w:type="dxa" w:w="1037"/>
            <w:shd w:val="clear" w:color="auto" w:fill="143C64"/>
          </w:tcPr>
          <w:p>
            <w:pPr>
              <w:spacing w:after="0"/>
              <w:jc w:val="left"/>
            </w:pPr>
            <w:r/>
            <w:r>
              <w:rPr>
                <w:rFonts w:ascii="Calibri" w:hAnsi="Calibri"/>
                <w:b/>
                <w:color w:val="FFFFFF"/>
                <w:sz w:val="24"/>
              </w:rPr>
              <w:t>Meta</w:t>
            </w:r>
          </w:p>
        </w:tc>
        <w:tc>
          <w:tcPr>
            <w:tcW w:type="dxa" w:w="3134"/>
            <w:shd w:val="clear" w:color="auto" w:fill="143C64"/>
          </w:tcPr>
          <w:p>
            <w:pPr>
              <w:spacing w:after="0"/>
              <w:jc w:val="left"/>
            </w:pPr>
            <w:r/>
            <w:r>
              <w:rPr>
                <w:rFonts w:ascii="Calibri" w:hAnsi="Calibri"/>
                <w:b/>
                <w:color w:val="FFFFFF"/>
                <w:sz w:val="24"/>
              </w:rPr>
              <w:t>Objeto</w:t>
            </w:r>
          </w:p>
        </w:tc>
        <w:tc>
          <w:tcPr>
            <w:tcW w:type="dxa" w:w="1802"/>
            <w:shd w:val="clear" w:color="auto" w:fill="143C64"/>
          </w:tcPr>
          <w:p>
            <w:pPr>
              <w:spacing w:after="0"/>
              <w:jc w:val="left"/>
            </w:pPr>
            <w:r/>
            <w:r>
              <w:rPr>
                <w:rFonts w:ascii="Calibri" w:hAnsi="Calibri"/>
                <w:b/>
                <w:color w:val="FFFFFF"/>
                <w:sz w:val="24"/>
              </w:rPr>
              <w:t>Documento</w:t>
            </w:r>
          </w:p>
        </w:tc>
        <w:tc>
          <w:tcPr>
            <w:tcW w:type="dxa" w:w="3099"/>
            <w:shd w:val="clear" w:color="auto" w:fill="143C64"/>
          </w:tcPr>
          <w:p>
            <w:pPr>
              <w:spacing w:after="0"/>
              <w:jc w:val="left"/>
            </w:pPr>
            <w:r/>
            <w:r>
              <w:rPr>
                <w:rFonts w:ascii="Calibri" w:hAnsi="Calibri"/>
                <w:b/>
                <w:color w:val="FFFFFF"/>
                <w:sz w:val="24"/>
              </w:rPr>
              <w:t>Situação</w:t>
            </w:r>
          </w:p>
        </w:tc>
      </w:tr>
      <w:tr>
        <w:trPr>
          <w:cantSplit/>
        </w:trPr>
        <w:tc>
          <w:tcPr>
            <w:tcW w:type="dxa" w:w="1037"/>
          </w:tcPr>
          <w:p>
            <w:pPr>
              <w:spacing w:after="0"/>
              <w:jc w:val="left"/>
            </w:pPr>
            <w:r/>
            <w:r>
              <w:rPr>
                <w:rFonts w:ascii="Calibri" w:hAnsi="Calibri"/>
                <w:b/>
                <w:color w:val="1A1A1A"/>
                <w:sz w:val="24"/>
              </w:rPr>
              <w:t>M1</w:t>
            </w:r>
          </w:p>
        </w:tc>
        <w:tc>
          <w:tcPr>
            <w:tcW w:type="dxa" w:w="3134"/>
          </w:tcPr>
          <w:p>
            <w:pPr>
              <w:spacing w:after="0"/>
              <w:jc w:val="left"/>
            </w:pPr>
            <w:r/>
            <w:r>
              <w:rPr>
                <w:rFonts w:ascii="Calibri" w:hAnsi="Calibri"/>
                <w:b w:val="0"/>
                <w:color w:val="1A1A1A"/>
                <w:sz w:val="24"/>
              </w:rPr>
              <w:t>Modelo de POP e grade de avaliação</w:t>
            </w:r>
          </w:p>
        </w:tc>
        <w:tc>
          <w:tcPr>
            <w:tcW w:type="dxa" w:w="1802"/>
          </w:tcPr>
          <w:p>
            <w:pPr>
              <w:spacing w:after="0"/>
              <w:jc w:val="left"/>
            </w:pPr>
            <w:r/>
            <w:r>
              <w:rPr>
                <w:rFonts w:ascii="Calibri" w:hAnsi="Calibri"/>
                <w:b w:val="0"/>
                <w:color w:val="1A1A1A"/>
                <w:sz w:val="24"/>
              </w:rPr>
              <w:t>05 e 06</w:t>
            </w:r>
          </w:p>
        </w:tc>
        <w:tc>
          <w:tcPr>
            <w:tcW w:type="dxa" w:w="3099"/>
          </w:tcPr>
          <w:p>
            <w:pPr>
              <w:spacing w:after="0"/>
              <w:jc w:val="left"/>
            </w:pPr>
            <w:r/>
            <w:r>
              <w:rPr>
                <w:rFonts w:ascii="Calibri" w:hAnsi="Calibri"/>
                <w:b w:val="0"/>
                <w:color w:val="1A1A1A"/>
                <w:sz w:val="24"/>
              </w:rPr>
              <w:t>Instrumento pronto. Depende de aprovação em ata.</w:t>
            </w:r>
          </w:p>
        </w:tc>
      </w:tr>
      <w:tr>
        <w:trPr>
          <w:cantSplit/>
        </w:trPr>
        <w:tc>
          <w:tcPr>
            <w:tcW w:type="dxa" w:w="1037"/>
            <w:shd w:val="clear" w:color="auto" w:fill="F2F5F8"/>
          </w:tcPr>
          <w:p>
            <w:pPr>
              <w:spacing w:after="0"/>
              <w:jc w:val="left"/>
            </w:pPr>
            <w:r/>
            <w:r>
              <w:rPr>
                <w:rFonts w:ascii="Calibri" w:hAnsi="Calibri"/>
                <w:b/>
                <w:color w:val="1A1A1A"/>
                <w:sz w:val="24"/>
              </w:rPr>
              <w:t>M2</w:t>
            </w:r>
          </w:p>
        </w:tc>
        <w:tc>
          <w:tcPr>
            <w:tcW w:type="dxa" w:w="3134"/>
            <w:shd w:val="clear" w:color="auto" w:fill="F2F5F8"/>
          </w:tcPr>
          <w:p>
            <w:pPr>
              <w:spacing w:after="0"/>
              <w:jc w:val="left"/>
            </w:pPr>
            <w:r/>
            <w:r>
              <w:rPr>
                <w:rFonts w:ascii="Calibri" w:hAnsi="Calibri"/>
                <w:b w:val="0"/>
                <w:color w:val="1A1A1A"/>
                <w:sz w:val="24"/>
              </w:rPr>
              <w:t>Mapa normativo e consulta formal</w:t>
            </w:r>
          </w:p>
        </w:tc>
        <w:tc>
          <w:tcPr>
            <w:tcW w:type="dxa" w:w="1802"/>
            <w:shd w:val="clear" w:color="auto" w:fill="F2F5F8"/>
          </w:tcPr>
          <w:p>
            <w:pPr>
              <w:spacing w:after="0"/>
              <w:jc w:val="left"/>
            </w:pPr>
            <w:r/>
            <w:r>
              <w:rPr>
                <w:rFonts w:ascii="Calibri" w:hAnsi="Calibri"/>
                <w:b w:val="0"/>
                <w:color w:val="1A1A1A"/>
                <w:sz w:val="24"/>
              </w:rPr>
              <w:t>02 e 03</w:t>
            </w:r>
          </w:p>
        </w:tc>
        <w:tc>
          <w:tcPr>
            <w:tcW w:type="dxa" w:w="3099"/>
            <w:shd w:val="clear" w:color="auto" w:fill="F2F5F8"/>
          </w:tcPr>
          <w:p>
            <w:pPr>
              <w:spacing w:after="0"/>
              <w:jc w:val="left"/>
            </w:pPr>
            <w:r/>
            <w:r>
              <w:rPr>
                <w:rFonts w:ascii="Calibri" w:hAnsi="Calibri"/>
                <w:b w:val="0"/>
                <w:color w:val="1A1A1A"/>
                <w:sz w:val="24"/>
              </w:rPr>
              <w:t>Mapa concluído. Ofício pronto para protocolo pela Diretoria.</w:t>
            </w:r>
          </w:p>
        </w:tc>
      </w:tr>
      <w:tr>
        <w:trPr>
          <w:cantSplit/>
        </w:trPr>
        <w:tc>
          <w:tcPr>
            <w:tcW w:type="dxa" w:w="1037"/>
          </w:tcPr>
          <w:p>
            <w:pPr>
              <w:spacing w:after="0"/>
              <w:jc w:val="left"/>
            </w:pPr>
            <w:r/>
            <w:r>
              <w:rPr>
                <w:rFonts w:ascii="Calibri" w:hAnsi="Calibri"/>
                <w:b/>
                <w:color w:val="1A1A1A"/>
                <w:sz w:val="24"/>
              </w:rPr>
              <w:t>M3</w:t>
            </w:r>
          </w:p>
        </w:tc>
        <w:tc>
          <w:tcPr>
            <w:tcW w:type="dxa" w:w="3134"/>
          </w:tcPr>
          <w:p>
            <w:pPr>
              <w:spacing w:after="0"/>
              <w:jc w:val="left"/>
            </w:pPr>
            <w:r/>
            <w:r>
              <w:rPr>
                <w:rFonts w:ascii="Calibri" w:hAnsi="Calibri"/>
                <w:b w:val="0"/>
                <w:color w:val="1A1A1A"/>
                <w:sz w:val="24"/>
              </w:rPr>
              <w:t>Protocolo de levantamento</w:t>
            </w:r>
          </w:p>
        </w:tc>
        <w:tc>
          <w:tcPr>
            <w:tcW w:type="dxa" w:w="1802"/>
          </w:tcPr>
          <w:p>
            <w:pPr>
              <w:spacing w:after="0"/>
              <w:jc w:val="left"/>
            </w:pPr>
            <w:r/>
            <w:r>
              <w:rPr>
                <w:rFonts w:ascii="Calibri" w:hAnsi="Calibri"/>
                <w:b w:val="0"/>
                <w:color w:val="1A1A1A"/>
                <w:sz w:val="24"/>
              </w:rPr>
              <w:t>04</w:t>
            </w:r>
          </w:p>
        </w:tc>
        <w:tc>
          <w:tcPr>
            <w:tcW w:type="dxa" w:w="3099"/>
          </w:tcPr>
          <w:p>
            <w:pPr>
              <w:spacing w:after="0"/>
              <w:jc w:val="left"/>
            </w:pPr>
            <w:r/>
            <w:r>
              <w:rPr>
                <w:rFonts w:ascii="Calibri" w:hAnsi="Calibri"/>
                <w:b w:val="0"/>
                <w:color w:val="1A1A1A"/>
                <w:sz w:val="24"/>
              </w:rPr>
              <w:t>Protocolo concluído. Execução a iniciar.</w:t>
            </w:r>
          </w:p>
        </w:tc>
      </w:tr>
      <w:tr>
        <w:trPr>
          <w:cantSplit/>
        </w:trPr>
        <w:tc>
          <w:tcPr>
            <w:tcW w:type="dxa" w:w="1037"/>
            <w:shd w:val="clear" w:color="auto" w:fill="F2F5F8"/>
          </w:tcPr>
          <w:p>
            <w:pPr>
              <w:spacing w:after="0"/>
              <w:jc w:val="left"/>
            </w:pPr>
            <w:r/>
            <w:r>
              <w:rPr>
                <w:rFonts w:ascii="Calibri" w:hAnsi="Calibri"/>
                <w:b/>
                <w:color w:val="1A1A1A"/>
                <w:sz w:val="24"/>
              </w:rPr>
              <w:t>M4</w:t>
            </w:r>
          </w:p>
        </w:tc>
        <w:tc>
          <w:tcPr>
            <w:tcW w:type="dxa" w:w="3134"/>
            <w:shd w:val="clear" w:color="auto" w:fill="F2F5F8"/>
          </w:tcPr>
          <w:p>
            <w:pPr>
              <w:spacing w:after="0"/>
              <w:jc w:val="left"/>
            </w:pPr>
            <w:r/>
            <w:r>
              <w:rPr>
                <w:rFonts w:ascii="Calibri" w:hAnsi="Calibri"/>
                <w:b w:val="0"/>
                <w:color w:val="1A1A1A"/>
                <w:sz w:val="24"/>
              </w:rPr>
              <w:t>Fluxograma em quatro camadas</w:t>
            </w:r>
          </w:p>
        </w:tc>
        <w:tc>
          <w:tcPr>
            <w:tcW w:type="dxa" w:w="1802"/>
            <w:shd w:val="clear" w:color="auto" w:fill="F2F5F8"/>
          </w:tcPr>
          <w:p>
            <w:pPr>
              <w:spacing w:after="0"/>
              <w:jc w:val="left"/>
            </w:pPr>
            <w:r/>
            <w:r>
              <w:rPr>
                <w:rFonts w:ascii="Calibri" w:hAnsi="Calibri"/>
                <w:b w:val="0"/>
                <w:color w:val="1A1A1A"/>
                <w:sz w:val="24"/>
              </w:rPr>
              <w:t>07, 08 e 09</w:t>
            </w:r>
          </w:p>
        </w:tc>
        <w:tc>
          <w:tcPr>
            <w:tcW w:type="dxa" w:w="3099"/>
            <w:shd w:val="clear" w:color="auto" w:fill="F2F5F8"/>
          </w:tcPr>
          <w:p>
            <w:pPr>
              <w:spacing w:after="0"/>
              <w:jc w:val="left"/>
            </w:pPr>
            <w:r/>
            <w:r>
              <w:rPr>
                <w:rFonts w:ascii="Calibri" w:hAnsi="Calibri"/>
                <w:b w:val="0"/>
                <w:color w:val="1A1A1A"/>
                <w:sz w:val="24"/>
              </w:rPr>
              <w:t>Versão consolidada, para revisão interna.</w:t>
            </w:r>
          </w:p>
        </w:tc>
      </w:tr>
      <w:tr>
        <w:trPr>
          <w:cantSplit/>
        </w:trPr>
        <w:tc>
          <w:tcPr>
            <w:tcW w:type="dxa" w:w="1037"/>
          </w:tcPr>
          <w:p>
            <w:pPr>
              <w:spacing w:after="0"/>
              <w:jc w:val="left"/>
            </w:pPr>
            <w:r/>
            <w:r>
              <w:rPr>
                <w:rFonts w:ascii="Calibri" w:hAnsi="Calibri"/>
                <w:b/>
                <w:color w:val="1A1A1A"/>
                <w:sz w:val="24"/>
              </w:rPr>
              <w:t>M5</w:t>
            </w:r>
          </w:p>
        </w:tc>
        <w:tc>
          <w:tcPr>
            <w:tcW w:type="dxa" w:w="3134"/>
          </w:tcPr>
          <w:p>
            <w:pPr>
              <w:spacing w:after="0"/>
              <w:jc w:val="left"/>
            </w:pPr>
            <w:r/>
            <w:r>
              <w:rPr>
                <w:rFonts w:ascii="Calibri" w:hAnsi="Calibri"/>
                <w:b w:val="0"/>
                <w:color w:val="1A1A1A"/>
                <w:sz w:val="24"/>
              </w:rPr>
              <w:t>Onda 1 de POPs</w:t>
            </w:r>
          </w:p>
        </w:tc>
        <w:tc>
          <w:tcPr>
            <w:tcW w:type="dxa" w:w="1802"/>
          </w:tcPr>
          <w:p>
            <w:pPr>
              <w:spacing w:after="0"/>
              <w:jc w:val="left"/>
            </w:pPr>
            <w:r/>
            <w:r>
              <w:rPr>
                <w:rFonts w:ascii="Calibri" w:hAnsi="Calibri"/>
                <w:b w:val="0"/>
                <w:color w:val="1A1A1A"/>
                <w:sz w:val="24"/>
              </w:rPr>
              <w:t>20 e 21</w:t>
            </w:r>
          </w:p>
        </w:tc>
        <w:tc>
          <w:tcPr>
            <w:tcW w:type="dxa" w:w="3099"/>
          </w:tcPr>
          <w:p>
            <w:pPr>
              <w:spacing w:after="0"/>
              <w:jc w:val="left"/>
            </w:pPr>
            <w:r/>
            <w:r>
              <w:rPr>
                <w:rFonts w:ascii="Calibri" w:hAnsi="Calibri"/>
                <w:b w:val="0"/>
                <w:color w:val="1A1A1A"/>
                <w:sz w:val="24"/>
              </w:rPr>
              <w:t>POPs da onda 1 escritos e fechados em processo. Parâmetros por produto a preencher.</w:t>
            </w:r>
          </w:p>
        </w:tc>
      </w:tr>
      <w:tr>
        <w:trPr>
          <w:cantSplit/>
        </w:trPr>
        <w:tc>
          <w:tcPr>
            <w:tcW w:type="dxa" w:w="1037"/>
            <w:shd w:val="clear" w:color="auto" w:fill="F2F5F8"/>
          </w:tcPr>
          <w:p>
            <w:pPr>
              <w:spacing w:after="0"/>
              <w:jc w:val="left"/>
            </w:pPr>
            <w:r/>
            <w:r>
              <w:rPr>
                <w:rFonts w:ascii="Calibri" w:hAnsi="Calibri"/>
                <w:b/>
                <w:color w:val="1A1A1A"/>
                <w:sz w:val="24"/>
              </w:rPr>
              <w:t>M6</w:t>
            </w:r>
          </w:p>
        </w:tc>
        <w:tc>
          <w:tcPr>
            <w:tcW w:type="dxa" w:w="3134"/>
            <w:shd w:val="clear" w:color="auto" w:fill="F2F5F8"/>
          </w:tcPr>
          <w:p>
            <w:pPr>
              <w:spacing w:after="0"/>
              <w:jc w:val="left"/>
            </w:pPr>
            <w:r/>
            <w:r>
              <w:rPr>
                <w:rFonts w:ascii="Calibri" w:hAnsi="Calibri"/>
                <w:b w:val="0"/>
                <w:color w:val="1A1A1A"/>
                <w:sz w:val="24"/>
              </w:rPr>
              <w:t>Guia de conformidade regulatória</w:t>
            </w:r>
          </w:p>
        </w:tc>
        <w:tc>
          <w:tcPr>
            <w:tcW w:type="dxa" w:w="1802"/>
            <w:shd w:val="clear" w:color="auto" w:fill="F2F5F8"/>
          </w:tcPr>
          <w:p>
            <w:pPr>
              <w:spacing w:after="0"/>
              <w:jc w:val="left"/>
            </w:pPr>
            <w:r/>
            <w:r>
              <w:rPr>
                <w:rFonts w:ascii="Calibri" w:hAnsi="Calibri"/>
                <w:b w:val="0"/>
                <w:color w:val="1A1A1A"/>
                <w:sz w:val="24"/>
              </w:rPr>
              <w:t>10</w:t>
            </w:r>
          </w:p>
        </w:tc>
        <w:tc>
          <w:tcPr>
            <w:tcW w:type="dxa" w:w="3099"/>
            <w:shd w:val="clear" w:color="auto" w:fill="F2F5F8"/>
          </w:tcPr>
          <w:p>
            <w:pPr>
              <w:spacing w:after="0"/>
              <w:jc w:val="left"/>
            </w:pPr>
            <w:r/>
            <w:r>
              <w:rPr>
                <w:rFonts w:ascii="Calibri" w:hAnsi="Calibri"/>
                <w:b w:val="0"/>
                <w:color w:val="1A1A1A"/>
                <w:sz w:val="24"/>
              </w:rPr>
              <w:t>Consolidado, para revisão interna.</w:t>
            </w:r>
          </w:p>
        </w:tc>
      </w:tr>
      <w:tr>
        <w:trPr>
          <w:cantSplit/>
        </w:trPr>
        <w:tc>
          <w:tcPr>
            <w:tcW w:type="dxa" w:w="1037"/>
          </w:tcPr>
          <w:p>
            <w:pPr>
              <w:spacing w:after="0"/>
              <w:jc w:val="left"/>
            </w:pPr>
            <w:r/>
            <w:r>
              <w:rPr>
                <w:rFonts w:ascii="Calibri" w:hAnsi="Calibri"/>
                <w:b/>
                <w:color w:val="1A1A1A"/>
                <w:sz w:val="24"/>
              </w:rPr>
              <w:t>M7</w:t>
            </w:r>
          </w:p>
        </w:tc>
        <w:tc>
          <w:tcPr>
            <w:tcW w:type="dxa" w:w="3134"/>
          </w:tcPr>
          <w:p>
            <w:pPr>
              <w:spacing w:after="0"/>
              <w:jc w:val="left"/>
            </w:pPr>
            <w:r/>
            <w:r>
              <w:rPr>
                <w:rFonts w:ascii="Calibri" w:hAnsi="Calibri"/>
                <w:b w:val="0"/>
                <w:color w:val="1A1A1A"/>
                <w:sz w:val="24"/>
              </w:rPr>
              <w:t>Onda 2 de POPs</w:t>
            </w:r>
          </w:p>
        </w:tc>
        <w:tc>
          <w:tcPr>
            <w:tcW w:type="dxa" w:w="1802"/>
          </w:tcPr>
          <w:p>
            <w:pPr>
              <w:spacing w:after="0"/>
              <w:jc w:val="left"/>
            </w:pPr>
            <w:r/>
            <w:r>
              <w:rPr>
                <w:rFonts w:ascii="Calibri" w:hAnsi="Calibri"/>
                <w:b w:val="0"/>
                <w:color w:val="1A1A1A"/>
                <w:sz w:val="24"/>
              </w:rPr>
              <w:t>20</w:t>
            </w:r>
          </w:p>
        </w:tc>
        <w:tc>
          <w:tcPr>
            <w:tcW w:type="dxa" w:w="3099"/>
          </w:tcPr>
          <w:p>
            <w:pPr>
              <w:spacing w:after="0"/>
              <w:jc w:val="left"/>
            </w:pPr>
            <w:r/>
            <w:r>
              <w:rPr>
                <w:rFonts w:ascii="Calibri" w:hAnsi="Calibri"/>
                <w:b w:val="0"/>
                <w:color w:val="1A1A1A"/>
                <w:sz w:val="24"/>
              </w:rPr>
              <w:t>POPs da onda 2 escritos e fechados em processo.</w:t>
            </w:r>
          </w:p>
        </w:tc>
      </w:tr>
      <w:tr>
        <w:trPr>
          <w:cantSplit/>
        </w:trPr>
        <w:tc>
          <w:tcPr>
            <w:tcW w:type="dxa" w:w="1037"/>
            <w:shd w:val="clear" w:color="auto" w:fill="F2F5F8"/>
          </w:tcPr>
          <w:p>
            <w:pPr>
              <w:spacing w:after="0"/>
              <w:jc w:val="left"/>
            </w:pPr>
            <w:r/>
            <w:r>
              <w:rPr>
                <w:rFonts w:ascii="Calibri" w:hAnsi="Calibri"/>
                <w:b/>
                <w:color w:val="1A1A1A"/>
                <w:sz w:val="24"/>
              </w:rPr>
              <w:t>M8</w:t>
            </w:r>
          </w:p>
        </w:tc>
        <w:tc>
          <w:tcPr>
            <w:tcW w:type="dxa" w:w="3134"/>
            <w:shd w:val="clear" w:color="auto" w:fill="F2F5F8"/>
          </w:tcPr>
          <w:p>
            <w:pPr>
              <w:spacing w:after="0"/>
              <w:jc w:val="left"/>
            </w:pPr>
            <w:r/>
            <w:r>
              <w:rPr>
                <w:rFonts w:ascii="Calibri" w:hAnsi="Calibri"/>
                <w:b w:val="0"/>
                <w:color w:val="1A1A1A"/>
                <w:sz w:val="24"/>
              </w:rPr>
              <w:t>Manual e modelos de termo</w:t>
            </w:r>
          </w:p>
        </w:tc>
        <w:tc>
          <w:tcPr>
            <w:tcW w:type="dxa" w:w="1802"/>
            <w:shd w:val="clear" w:color="auto" w:fill="F2F5F8"/>
          </w:tcPr>
          <w:p>
            <w:pPr>
              <w:spacing w:after="0"/>
              <w:jc w:val="left"/>
            </w:pPr>
            <w:r/>
            <w:r>
              <w:rPr>
                <w:rFonts w:ascii="Calibri" w:hAnsi="Calibri"/>
                <w:b w:val="0"/>
                <w:color w:val="1A1A1A"/>
                <w:sz w:val="24"/>
              </w:rPr>
              <w:t>10 e 18</w:t>
            </w:r>
          </w:p>
        </w:tc>
        <w:tc>
          <w:tcPr>
            <w:tcW w:type="dxa" w:w="3099"/>
            <w:shd w:val="clear" w:color="auto" w:fill="F2F5F8"/>
          </w:tcPr>
          <w:p>
            <w:pPr>
              <w:spacing w:after="0"/>
              <w:jc w:val="left"/>
            </w:pPr>
            <w:r/>
            <w:r>
              <w:rPr>
                <w:rFonts w:ascii="Calibri" w:hAnsi="Calibri"/>
                <w:b w:val="0"/>
                <w:color w:val="1A1A1A"/>
                <w:sz w:val="24"/>
              </w:rPr>
              <w:t>Manual consolidado. Modelos de termo produzidos, pendentes de revisão jurídica.</w:t>
            </w:r>
          </w:p>
        </w:tc>
      </w:tr>
      <w:tr>
        <w:trPr>
          <w:cantSplit/>
        </w:trPr>
        <w:tc>
          <w:tcPr>
            <w:tcW w:type="dxa" w:w="1037"/>
          </w:tcPr>
          <w:p>
            <w:pPr>
              <w:spacing w:after="0"/>
              <w:jc w:val="left"/>
            </w:pPr>
            <w:r/>
            <w:r>
              <w:rPr>
                <w:rFonts w:ascii="Calibri" w:hAnsi="Calibri"/>
                <w:b/>
                <w:color w:val="1A1A1A"/>
                <w:sz w:val="24"/>
              </w:rPr>
              <w:t>M9</w:t>
            </w:r>
          </w:p>
        </w:tc>
        <w:tc>
          <w:tcPr>
            <w:tcW w:type="dxa" w:w="3134"/>
          </w:tcPr>
          <w:p>
            <w:pPr>
              <w:spacing w:after="0"/>
              <w:jc w:val="left"/>
            </w:pPr>
            <w:r/>
            <w:r>
              <w:rPr>
                <w:rFonts w:ascii="Calibri" w:hAnsi="Calibri"/>
                <w:b w:val="0"/>
                <w:color w:val="1A1A1A"/>
                <w:sz w:val="24"/>
              </w:rPr>
              <w:t>Relatório-piloto de avaliação tecnológica</w:t>
            </w:r>
          </w:p>
        </w:tc>
        <w:tc>
          <w:tcPr>
            <w:tcW w:type="dxa" w:w="1802"/>
          </w:tcPr>
          <w:p>
            <w:pPr>
              <w:spacing w:after="0"/>
              <w:jc w:val="left"/>
            </w:pPr>
            <w:r/>
            <w:r>
              <w:rPr>
                <w:rFonts w:ascii="Calibri" w:hAnsi="Calibri"/>
                <w:b w:val="0"/>
                <w:color w:val="1A1A1A"/>
                <w:sz w:val="24"/>
              </w:rPr>
              <w:t>11</w:t>
            </w:r>
          </w:p>
        </w:tc>
        <w:tc>
          <w:tcPr>
            <w:tcW w:type="dxa" w:w="3099"/>
          </w:tcPr>
          <w:p>
            <w:pPr>
              <w:spacing w:after="0"/>
              <w:jc w:val="left"/>
            </w:pPr>
            <w:r/>
            <w:r>
              <w:rPr>
                <w:rFonts w:ascii="Calibri" w:hAnsi="Calibri"/>
                <w:b w:val="0"/>
                <w:color w:val="1A1A1A"/>
                <w:sz w:val="24"/>
              </w:rPr>
              <w:t>Consolidado, com duas dimensões pendentes de verificação declaradas.</w:t>
            </w:r>
          </w:p>
        </w:tc>
      </w:tr>
      <w:tr>
        <w:trPr>
          <w:cantSplit/>
        </w:trPr>
        <w:tc>
          <w:tcPr>
            <w:tcW w:type="dxa" w:w="1037"/>
            <w:shd w:val="clear" w:color="auto" w:fill="F2F5F8"/>
          </w:tcPr>
          <w:p>
            <w:pPr>
              <w:spacing w:after="0"/>
              <w:jc w:val="left"/>
            </w:pPr>
            <w:r/>
            <w:r>
              <w:rPr>
                <w:rFonts w:ascii="Calibri" w:hAnsi="Calibri"/>
                <w:b/>
                <w:color w:val="1A1A1A"/>
                <w:sz w:val="24"/>
              </w:rPr>
              <w:t>M10</w:t>
            </w:r>
          </w:p>
        </w:tc>
        <w:tc>
          <w:tcPr>
            <w:tcW w:type="dxa" w:w="3134"/>
            <w:shd w:val="clear" w:color="auto" w:fill="F2F5F8"/>
          </w:tcPr>
          <w:p>
            <w:pPr>
              <w:spacing w:after="0"/>
              <w:jc w:val="left"/>
            </w:pPr>
            <w:r/>
            <w:r>
              <w:rPr>
                <w:rFonts w:ascii="Calibri" w:hAnsi="Calibri"/>
                <w:b w:val="0"/>
                <w:color w:val="1A1A1A"/>
                <w:sz w:val="24"/>
              </w:rPr>
              <w:t>Submissão à Diretoria Executiva</w:t>
            </w:r>
          </w:p>
        </w:tc>
        <w:tc>
          <w:tcPr>
            <w:tcW w:type="dxa" w:w="1802"/>
            <w:shd w:val="clear" w:color="auto" w:fill="F2F5F8"/>
          </w:tcPr>
          <w:p>
            <w:pPr>
              <w:spacing w:after="0"/>
              <w:jc w:val="left"/>
            </w:pPr>
            <w:r/>
            <w:r>
              <w:rPr>
                <w:rFonts w:ascii="Calibri" w:hAnsi="Calibri"/>
                <w:b w:val="0"/>
                <w:color w:val="1A1A1A"/>
                <w:sz w:val="24"/>
              </w:rPr>
              <w:t>25</w:t>
            </w:r>
          </w:p>
        </w:tc>
        <w:tc>
          <w:tcPr>
            <w:tcW w:type="dxa" w:w="3099"/>
            <w:shd w:val="clear" w:color="auto" w:fill="F2F5F8"/>
          </w:tcPr>
          <w:p>
            <w:pPr>
              <w:spacing w:after="0"/>
              <w:jc w:val="left"/>
            </w:pPr>
            <w:r/>
            <w:r>
              <w:rPr>
                <w:rFonts w:ascii="Calibri" w:hAnsi="Calibri"/>
                <w:b w:val="0"/>
                <w:color w:val="1A1A1A"/>
                <w:sz w:val="24"/>
              </w:rPr>
              <w:t>Ofício e termo de entrega prontos. Depende de assinatura e protocolo.</w:t>
            </w:r>
          </w:p>
        </w:tc>
      </w:tr>
      <w:tr>
        <w:trPr>
          <w:cantSplit/>
        </w:trPr>
        <w:tc>
          <w:tcPr>
            <w:tcW w:type="dxa" w:w="1037"/>
          </w:tcPr>
          <w:p>
            <w:pPr>
              <w:spacing w:after="0"/>
              <w:jc w:val="left"/>
            </w:pPr>
            <w:r/>
            <w:r>
              <w:rPr>
                <w:rFonts w:ascii="Calibri" w:hAnsi="Calibri"/>
                <w:b/>
                <w:color w:val="1A1A1A"/>
                <w:sz w:val="24"/>
              </w:rPr>
              <w:t>M11</w:t>
            </w:r>
          </w:p>
        </w:tc>
        <w:tc>
          <w:tcPr>
            <w:tcW w:type="dxa" w:w="3134"/>
          </w:tcPr>
          <w:p>
            <w:pPr>
              <w:spacing w:after="0"/>
              <w:jc w:val="left"/>
            </w:pPr>
            <w:r/>
            <w:r>
              <w:rPr>
                <w:rFonts w:ascii="Calibri" w:hAnsi="Calibri"/>
                <w:b w:val="0"/>
                <w:color w:val="1A1A1A"/>
                <w:sz w:val="24"/>
              </w:rPr>
              <w:t>Fórum de Tecnologias Emergentes e entrega oficial</w:t>
            </w:r>
          </w:p>
        </w:tc>
        <w:tc>
          <w:tcPr>
            <w:tcW w:type="dxa" w:w="1802"/>
          </w:tcPr>
          <w:p>
            <w:pPr>
              <w:spacing w:after="0"/>
              <w:jc w:val="left"/>
            </w:pPr>
            <w:r/>
            <w:r>
              <w:rPr>
                <w:rFonts w:ascii="Calibri" w:hAnsi="Calibri"/>
                <w:b w:val="0"/>
                <w:color w:val="1A1A1A"/>
                <w:sz w:val="24"/>
              </w:rPr>
              <w:t>26</w:t>
            </w:r>
          </w:p>
        </w:tc>
        <w:tc>
          <w:tcPr>
            <w:tcW w:type="dxa" w:w="3099"/>
          </w:tcPr>
          <w:p>
            <w:pPr>
              <w:spacing w:after="0"/>
              <w:jc w:val="left"/>
            </w:pPr>
            <w:r/>
            <w:r>
              <w:rPr>
                <w:rFonts w:ascii="Calibri" w:hAnsi="Calibri"/>
                <w:b w:val="0"/>
                <w:color w:val="1A1A1A"/>
                <w:sz w:val="24"/>
              </w:rPr>
              <w:t>Plano completo pronto. Depende de deliberação sobre data e da realização do evento.</w:t>
            </w:r>
          </w:p>
        </w:tc>
      </w:tr>
      <w:tr>
        <w:trPr>
          <w:cantSplit/>
        </w:trPr>
        <w:tc>
          <w:tcPr>
            <w:tcW w:type="dxa" w:w="1037"/>
            <w:shd w:val="clear" w:color="auto" w:fill="F2F5F8"/>
          </w:tcPr>
          <w:p>
            <w:pPr>
              <w:spacing w:after="0"/>
              <w:jc w:val="left"/>
            </w:pPr>
            <w:r/>
            <w:r>
              <w:rPr>
                <w:rFonts w:ascii="Calibri" w:hAnsi="Calibri"/>
                <w:b/>
                <w:color w:val="1A1A1A"/>
                <w:sz w:val="24"/>
              </w:rPr>
              <w:t>M12</w:t>
            </w:r>
          </w:p>
        </w:tc>
        <w:tc>
          <w:tcPr>
            <w:tcW w:type="dxa" w:w="3134"/>
            <w:shd w:val="clear" w:color="auto" w:fill="F2F5F8"/>
          </w:tcPr>
          <w:p>
            <w:pPr>
              <w:spacing w:after="0"/>
              <w:jc w:val="left"/>
            </w:pPr>
            <w:r/>
            <w:r>
              <w:rPr>
                <w:rFonts w:ascii="Calibri" w:hAnsi="Calibri"/>
                <w:b w:val="0"/>
                <w:color w:val="1A1A1A"/>
                <w:sz w:val="24"/>
              </w:rPr>
              <w:t>Seis reuniões documentadas</w:t>
            </w:r>
          </w:p>
        </w:tc>
        <w:tc>
          <w:tcPr>
            <w:tcW w:type="dxa" w:w="1802"/>
            <w:shd w:val="clear" w:color="auto" w:fill="F2F5F8"/>
          </w:tcPr>
          <w:p>
            <w:pPr>
              <w:spacing w:after="0"/>
              <w:jc w:val="left"/>
            </w:pPr>
            <w:r/>
            <w:r>
              <w:rPr>
                <w:rFonts w:ascii="Calibri" w:hAnsi="Calibri"/>
                <w:b w:val="0"/>
                <w:color w:val="1A1A1A"/>
                <w:sz w:val="24"/>
              </w:rPr>
              <w:t>24</w:t>
            </w:r>
          </w:p>
        </w:tc>
        <w:tc>
          <w:tcPr>
            <w:tcW w:type="dxa" w:w="3099"/>
            <w:shd w:val="clear" w:color="auto" w:fill="F2F5F8"/>
          </w:tcPr>
          <w:p>
            <w:pPr>
              <w:spacing w:after="0"/>
              <w:jc w:val="left"/>
            </w:pPr>
            <w:r/>
            <w:r>
              <w:rPr>
                <w:rFonts w:ascii="Calibri" w:hAnsi="Calibri"/>
                <w:b w:val="0"/>
                <w:color w:val="1A1A1A"/>
                <w:sz w:val="24"/>
              </w:rPr>
              <w:t>Modelo de ata e controle prontos. Depende da lavratura efetiva das atas.</w:t>
            </w:r>
          </w:p>
        </w:tc>
      </w:tr>
    </w:tbl>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Distinção necessária entre instrumento pronto e meta cumprida</w:t>
            </w:r>
          </w:p>
          <w:p>
            <w:pPr>
              <w:spacing w:after="0"/>
              <w:jc w:val="both"/>
            </w:pPr>
            <w:r>
              <w:rPr>
                <w:rFonts w:ascii="Calibri" w:hAnsi="Calibri"/>
                <w:color w:val="1A1A1A"/>
                <w:sz w:val="24"/>
              </w:rPr>
              <w:t>Várias metas do ciclo têm como indicador de verificação um ato que não pertence ao Núcleo: ata registrando aprovação, ofício protocolado, resposta de órgão juntada aos autos. O que este pacote entrega é o artefato submetido a esses atos, no estado em que pode ser deliberado. A conversão em meta cumprida depende do colegiado e da Diretoria Executiva. Apresentar as duas coisas como equivalentes seria impreciso.</w:t>
            </w:r>
          </w:p>
        </w:tc>
      </w:tr>
    </w:tbl>
    <w:p>
      <w:pPr>
        <w:spacing w:after="80"/>
      </w:pPr>
    </w:p>
    <w:p>
      <w:pPr>
        <w:keepNext/>
        <w:spacing w:before="360" w:after="160"/>
        <w:jc w:val="left"/>
        <w:pBdr>
          <w:bottom w:val="single" w:sz="8" w:space="4" w:color="143C64"/>
        </w:pBdr>
      </w:pPr>
      <w:r>
        <w:rPr>
          <w:rFonts w:ascii="Calibri" w:hAnsi="Calibri"/>
          <w:b/>
          <w:color w:val="143C64"/>
          <w:sz w:val="30"/>
        </w:rPr>
        <w:t>4  Decisões editoriais registradas nesta versão</w:t>
      </w:r>
    </w:p>
    <w:p>
      <w:pPr>
        <w:spacing w:after="120"/>
        <w:jc w:val="both"/>
      </w:pPr>
      <w:r>
        <w:rPr>
          <w:rFonts w:ascii="Calibri" w:hAnsi="Calibri"/>
          <w:b w:val="0"/>
          <w:i w:val="0"/>
          <w:color w:val="1A1A1A"/>
          <w:sz w:val="24"/>
        </w:rPr>
        <w:t>As decisões abaixo alteram versões anteriores do material do Núcleo. Estão registradas para que a mudança seja rastreável, e não silenciosa.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791"/>
        <w:gridCol w:w="5281"/>
      </w:tblGrid>
      <w:tr>
        <w:trPr>
          <w:cantSplit/>
          <w:tblHeader/>
        </w:trPr>
        <w:tc>
          <w:tcPr>
            <w:tcW w:type="dxa" w:w="3791"/>
            <w:shd w:val="clear" w:color="auto" w:fill="143C64"/>
          </w:tcPr>
          <w:p>
            <w:pPr>
              <w:spacing w:after="0"/>
              <w:jc w:val="left"/>
            </w:pPr>
            <w:r/>
            <w:r>
              <w:rPr>
                <w:rFonts w:ascii="Calibri" w:hAnsi="Calibri"/>
                <w:b/>
                <w:color w:val="FFFFFF"/>
                <w:sz w:val="24"/>
              </w:rPr>
              <w:t>Decisão</w:t>
            </w:r>
          </w:p>
        </w:tc>
        <w:tc>
          <w:tcPr>
            <w:tcW w:type="dxa" w:w="5281"/>
            <w:shd w:val="clear" w:color="auto" w:fill="143C64"/>
          </w:tcPr>
          <w:p>
            <w:pPr>
              <w:spacing w:after="0"/>
              <w:jc w:val="left"/>
            </w:pPr>
            <w:r/>
            <w:r>
              <w:rPr>
                <w:rFonts w:ascii="Calibri" w:hAnsi="Calibri"/>
                <w:b/>
                <w:color w:val="FFFFFF"/>
                <w:sz w:val="24"/>
              </w:rPr>
              <w:t>Fundamento</w:t>
            </w:r>
          </w:p>
        </w:tc>
      </w:tr>
      <w:tr>
        <w:trPr>
          <w:cantSplit/>
        </w:trPr>
        <w:tc>
          <w:tcPr>
            <w:tcW w:type="dxa" w:w="3791"/>
          </w:tcPr>
          <w:p>
            <w:pPr>
              <w:spacing w:after="0"/>
              <w:jc w:val="left"/>
            </w:pPr>
            <w:r/>
            <w:r>
              <w:rPr>
                <w:rFonts w:ascii="Calibri" w:hAnsi="Calibri"/>
                <w:b w:val="0"/>
                <w:color w:val="1A1A1A"/>
                <w:sz w:val="24"/>
              </w:rPr>
              <w:t>A matriz de avaliação tecnológica passa a ter oito dimensões, e não seis.</w:t>
            </w:r>
          </w:p>
        </w:tc>
        <w:tc>
          <w:tcPr>
            <w:tcW w:type="dxa" w:w="5281"/>
          </w:tcPr>
          <w:p>
            <w:pPr>
              <w:spacing w:after="0"/>
              <w:jc w:val="left"/>
            </w:pPr>
            <w:r/>
            <w:r>
              <w:rPr>
                <w:rFonts w:ascii="Calibri" w:hAnsi="Calibri"/>
                <w:b w:val="0"/>
                <w:color w:val="1A1A1A"/>
                <w:sz w:val="24"/>
              </w:rPr>
              <w:t>As duas dimensões acrescentadas, capacitação e infraestrutura e governança de dados, concentram o risco real nas tecnologias de energia e nas de imagem e software. Versões com seis dimensões ficam superadas.</w:t>
            </w:r>
          </w:p>
        </w:tc>
      </w:tr>
      <w:tr>
        <w:trPr>
          <w:cantSplit/>
        </w:trPr>
        <w:tc>
          <w:tcPr>
            <w:tcW w:type="dxa" w:w="3791"/>
            <w:shd w:val="clear" w:color="auto" w:fill="F2F5F8"/>
          </w:tcPr>
          <w:p>
            <w:pPr>
              <w:spacing w:after="0"/>
              <w:jc w:val="left"/>
            </w:pPr>
            <w:r/>
            <w:r>
              <w:rPr>
                <w:rFonts w:ascii="Calibri" w:hAnsi="Calibri"/>
                <w:b w:val="0"/>
                <w:color w:val="1A1A1A"/>
                <w:sz w:val="24"/>
              </w:rPr>
              <w:t>O pacote é ancorado na camada sanitária, e não na camada de especialidade.</w:t>
            </w:r>
          </w:p>
        </w:tc>
        <w:tc>
          <w:tcPr>
            <w:tcW w:type="dxa" w:w="5281"/>
            <w:shd w:val="clear" w:color="auto" w:fill="F2F5F8"/>
          </w:tcPr>
          <w:p>
            <w:pPr>
              <w:spacing w:after="0"/>
              <w:jc w:val="left"/>
            </w:pPr>
            <w:r/>
            <w:r>
              <w:rPr>
                <w:rFonts w:ascii="Calibri" w:hAnsi="Calibri"/>
                <w:b w:val="0"/>
                <w:color w:val="1A1A1A"/>
                <w:sz w:val="24"/>
              </w:rPr>
              <w:t>A exigência de POP e de série documental decorre diretamente da RDC Anvisa nº 1.002/2025. Essa ancoragem torna o pacote independente do desfecho judicial descrito na seção 5.</w:t>
            </w:r>
          </w:p>
        </w:tc>
      </w:tr>
      <w:tr>
        <w:trPr>
          <w:cantSplit/>
        </w:trPr>
        <w:tc>
          <w:tcPr>
            <w:tcW w:type="dxa" w:w="3791"/>
          </w:tcPr>
          <w:p>
            <w:pPr>
              <w:spacing w:after="0"/>
              <w:jc w:val="left"/>
            </w:pPr>
            <w:r/>
            <w:r>
              <w:rPr>
                <w:rFonts w:ascii="Calibri" w:hAnsi="Calibri"/>
                <w:b w:val="0"/>
                <w:color w:val="1A1A1A"/>
                <w:sz w:val="24"/>
              </w:rPr>
              <w:t>A legenda de sustentação em quatro categorias passa a ser obrigatória em todo documento técnico do Núcleo.</w:t>
            </w:r>
          </w:p>
        </w:tc>
        <w:tc>
          <w:tcPr>
            <w:tcW w:type="dxa" w:w="5281"/>
          </w:tcPr>
          <w:p>
            <w:pPr>
              <w:spacing w:after="0"/>
              <w:jc w:val="left"/>
            </w:pPr>
            <w:r/>
            <w:r>
              <w:rPr>
                <w:rFonts w:ascii="Calibri" w:hAnsi="Calibri"/>
                <w:b w:val="0"/>
                <w:color w:val="1A1A1A"/>
                <w:sz w:val="24"/>
              </w:rPr>
              <w:t>Impede que recomendação técnica seja lida como obrigação normativa e que lacuna de dados seja lida como ausência de risco.</w:t>
            </w:r>
          </w:p>
        </w:tc>
      </w:tr>
      <w:tr>
        <w:trPr>
          <w:cantSplit/>
        </w:trPr>
        <w:tc>
          <w:tcPr>
            <w:tcW w:type="dxa" w:w="3791"/>
            <w:shd w:val="clear" w:color="auto" w:fill="F2F5F8"/>
          </w:tcPr>
          <w:p>
            <w:pPr>
              <w:spacing w:after="0"/>
              <w:jc w:val="left"/>
            </w:pPr>
            <w:r/>
            <w:r>
              <w:rPr>
                <w:rFonts w:ascii="Calibri" w:hAnsi="Calibri"/>
                <w:b w:val="0"/>
                <w:color w:val="1A1A1A"/>
                <w:sz w:val="24"/>
              </w:rPr>
              <w:t>As referências científicas foram verificadas individualmente na base PubMed.</w:t>
            </w:r>
          </w:p>
        </w:tc>
        <w:tc>
          <w:tcPr>
            <w:tcW w:type="dxa" w:w="5281"/>
            <w:shd w:val="clear" w:color="auto" w:fill="F2F5F8"/>
          </w:tcPr>
          <w:p>
            <w:pPr>
              <w:spacing w:after="0"/>
              <w:jc w:val="left"/>
            </w:pPr>
            <w:r/>
            <w:r>
              <w:rPr>
                <w:rFonts w:ascii="Calibri" w:hAnsi="Calibri"/>
                <w:b w:val="0"/>
                <w:color w:val="1A1A1A"/>
                <w:sz w:val="24"/>
              </w:rPr>
              <w:t>Verificação realizada em 25 de agosto de 2026. Cinco referências confirmadas, nenhuma descartada e duas acrescentadas durante o processo. O registro consta do documento 12.</w:t>
            </w:r>
          </w:p>
        </w:tc>
      </w:tr>
      <w:tr>
        <w:trPr>
          <w:cantSplit/>
        </w:trPr>
        <w:tc>
          <w:tcPr>
            <w:tcW w:type="dxa" w:w="3791"/>
          </w:tcPr>
          <w:p>
            <w:pPr>
              <w:spacing w:after="0"/>
              <w:jc w:val="left"/>
            </w:pPr>
            <w:r/>
            <w:r>
              <w:rPr>
                <w:rFonts w:ascii="Calibri" w:hAnsi="Calibri"/>
                <w:b w:val="0"/>
                <w:color w:val="1A1A1A"/>
                <w:sz w:val="24"/>
              </w:rPr>
              <w:t>Os POPs clínicos são entregues como fichas estruturadas, sem parâmetros preenchidos.</w:t>
            </w:r>
          </w:p>
        </w:tc>
        <w:tc>
          <w:tcPr>
            <w:tcW w:type="dxa" w:w="5281"/>
          </w:tcPr>
          <w:p>
            <w:pPr>
              <w:spacing w:after="0"/>
              <w:jc w:val="left"/>
            </w:pPr>
            <w:r/>
            <w:r>
              <w:rPr>
                <w:rFonts w:ascii="Calibri" w:hAnsi="Calibri"/>
                <w:b w:val="0"/>
                <w:color w:val="1A1A1A"/>
                <w:sz w:val="24"/>
              </w:rPr>
              <w:t>Dose, via, técnica e parâmetro dependem do produto específico, das instruções do fabricante e de deliberação. Preenchê-los sem essa base produziria aparência de protocolo sem sustentação.</w:t>
            </w:r>
          </w:p>
        </w:tc>
      </w:tr>
      <w:tr>
        <w:trPr>
          <w:cantSplit/>
        </w:trPr>
        <w:tc>
          <w:tcPr>
            <w:tcW w:type="dxa" w:w="3791"/>
            <w:shd w:val="clear" w:color="auto" w:fill="F2F5F8"/>
          </w:tcPr>
          <w:p>
            <w:pPr>
              <w:spacing w:after="0"/>
              <w:jc w:val="left"/>
            </w:pPr>
            <w:r/>
            <w:r>
              <w:rPr>
                <w:rFonts w:ascii="Calibri" w:hAnsi="Calibri"/>
                <w:b w:val="0"/>
                <w:color w:val="1A1A1A"/>
                <w:sz w:val="24"/>
              </w:rPr>
              <w:t>O Estatuto dos Direitos do Paciente foi incorporado à base normativa.</w:t>
            </w:r>
          </w:p>
        </w:tc>
        <w:tc>
          <w:tcPr>
            <w:tcW w:type="dxa" w:w="5281"/>
            <w:shd w:val="clear" w:color="auto" w:fill="F2F5F8"/>
          </w:tcPr>
          <w:p>
            <w:pPr>
              <w:spacing w:after="0"/>
              <w:jc w:val="left"/>
            </w:pPr>
            <w:r/>
            <w:r>
              <w:rPr>
                <w:rFonts w:ascii="Calibri" w:hAnsi="Calibri"/>
                <w:b w:val="0"/>
                <w:color w:val="1A1A1A"/>
                <w:sz w:val="24"/>
              </w:rPr>
              <w:t>Lei nº 15.378, de 6 de abril de 2026. Informação, autonomia, consentimento e acesso ao prontuário passam a ter âncora legal expressa, alcançando a rede privada.</w:t>
            </w:r>
          </w:p>
        </w:tc>
      </w:tr>
      <w:tr>
        <w:trPr>
          <w:cantSplit/>
        </w:trPr>
        <w:tc>
          <w:tcPr>
            <w:tcW w:type="dxa" w:w="3791"/>
          </w:tcPr>
          <w:p>
            <w:pPr>
              <w:spacing w:after="0"/>
              <w:jc w:val="left"/>
            </w:pPr>
            <w:r/>
            <w:r>
              <w:rPr>
                <w:rFonts w:ascii="Calibri" w:hAnsi="Calibri"/>
                <w:b w:val="0"/>
                <w:color w:val="1A1A1A"/>
                <w:sz w:val="24"/>
              </w:rPr>
              <w:t>A data da liminar sobre a Resolução CFO nº 295/2026 foi corrigida.</w:t>
            </w:r>
          </w:p>
        </w:tc>
        <w:tc>
          <w:tcPr>
            <w:tcW w:type="dxa" w:w="5281"/>
          </w:tcPr>
          <w:p>
            <w:pPr>
              <w:spacing w:after="0"/>
              <w:jc w:val="left"/>
            </w:pPr>
            <w:r/>
            <w:r>
              <w:rPr>
                <w:rFonts w:ascii="Calibri" w:hAnsi="Calibri"/>
                <w:b w:val="0"/>
                <w:color w:val="1A1A1A"/>
                <w:sz w:val="24"/>
              </w:rPr>
              <w:t>Registro anterior indicava 24 de agosto. A liminar é de 6 de agosto de 2026, na Ação Civil Pública nº 1084782-29.2026.4.01.3400. Erro de data corrigido e número de processo incluído.</w:t>
            </w:r>
          </w:p>
        </w:tc>
      </w:tr>
      <w:tr>
        <w:trPr>
          <w:cantSplit/>
        </w:trPr>
        <w:tc>
          <w:tcPr>
            <w:tcW w:type="dxa" w:w="3791"/>
            <w:shd w:val="clear" w:color="auto" w:fill="F2F5F8"/>
          </w:tcPr>
          <w:p>
            <w:pPr>
              <w:spacing w:after="0"/>
              <w:jc w:val="left"/>
            </w:pPr>
            <w:r/>
            <w:r>
              <w:rPr>
                <w:rFonts w:ascii="Calibri" w:hAnsi="Calibri"/>
                <w:b w:val="0"/>
                <w:color w:val="1A1A1A"/>
                <w:sz w:val="24"/>
              </w:rPr>
              <w:t>A contribuição interna sobre manual prático de POPs foi incorporada, e não anexada.</w:t>
            </w:r>
          </w:p>
        </w:tc>
        <w:tc>
          <w:tcPr>
            <w:tcW w:type="dxa" w:w="5281"/>
            <w:shd w:val="clear" w:color="auto" w:fill="F2F5F8"/>
          </w:tcPr>
          <w:p>
            <w:pPr>
              <w:spacing w:after="0"/>
              <w:jc w:val="left"/>
            </w:pPr>
            <w:r/>
            <w:r>
              <w:rPr>
                <w:rFonts w:ascii="Calibri" w:hAnsi="Calibri"/>
                <w:b w:val="0"/>
                <w:color w:val="1A1A1A"/>
                <w:sz w:val="24"/>
              </w:rPr>
              <w:t>A proposta apresentada por Tânia de Carvalho Rocha, Vice-Presidência do Núcleo 5, foi dissolvida nos documentos correspondentes: a pauta de dezesseis temas e o cartão de consulta rápida no documento 05, biossegurança e processamento no documento 09, qualificação no documento 10, e as afirmações que exigem fonte no documento 12. O crédito consta do documento 05.</w:t>
            </w:r>
          </w:p>
        </w:tc>
      </w:tr>
      <w:tr>
        <w:trPr>
          <w:cantSplit/>
        </w:trPr>
        <w:tc>
          <w:tcPr>
            <w:tcW w:type="dxa" w:w="3791"/>
          </w:tcPr>
          <w:p>
            <w:pPr>
              <w:spacing w:after="0"/>
              <w:jc w:val="left"/>
            </w:pPr>
            <w:r/>
            <w:r>
              <w:rPr>
                <w:rFonts w:ascii="Calibri" w:hAnsi="Calibri"/>
                <w:b w:val="0"/>
                <w:color w:val="1A1A1A"/>
                <w:sz w:val="24"/>
              </w:rPr>
              <w:t>Dois temas de POP ficam com produção suspensa por escopo.</w:t>
            </w:r>
          </w:p>
        </w:tc>
        <w:tc>
          <w:tcPr>
            <w:tcW w:type="dxa" w:w="5281"/>
          </w:tcPr>
          <w:p>
            <w:pPr>
              <w:spacing w:after="0"/>
              <w:jc w:val="left"/>
            </w:pPr>
            <w:r/>
            <w:r>
              <w:rPr>
                <w:rFonts w:ascii="Calibri" w:hAnsi="Calibri"/>
                <w:b w:val="0"/>
                <w:color w:val="1A1A1A"/>
                <w:sz w:val="24"/>
              </w:rPr>
              <w:t>Procedimentos apoiados por imagem e emissão de laudo envolvem competência sob discussão judicial na data desta versão. A suspensão é quanto ao momento de produzir documento com marca institucional, e não avaliação da técnica.</w:t>
            </w:r>
          </w:p>
        </w:tc>
      </w:tr>
      <w:tr>
        <w:trPr>
          <w:cantSplit/>
        </w:trPr>
        <w:tc>
          <w:tcPr>
            <w:tcW w:type="dxa" w:w="3791"/>
            <w:shd w:val="clear" w:color="auto" w:fill="F2F5F8"/>
          </w:tcPr>
          <w:p>
            <w:pPr>
              <w:spacing w:after="0"/>
              <w:jc w:val="left"/>
            </w:pPr>
            <w:r/>
            <w:r>
              <w:rPr>
                <w:rFonts w:ascii="Calibri" w:hAnsi="Calibri"/>
                <w:b w:val="0"/>
                <w:color w:val="1A1A1A"/>
                <w:sz w:val="24"/>
              </w:rPr>
              <w:t>A pauta de produção de POPs foi ampliada de quatro para quinze temas, e um quinto POP transversal, de biossegurança e documentação fotográfica, foi acrescentado.</w:t>
            </w:r>
          </w:p>
        </w:tc>
        <w:tc>
          <w:tcPr>
            <w:tcW w:type="dxa" w:w="5281"/>
            <w:shd w:val="clear" w:color="auto" w:fill="F2F5F8"/>
          </w:tcPr>
          <w:p>
            <w:pPr>
              <w:spacing w:after="0"/>
              <w:jc w:val="left"/>
            </w:pPr>
            <w:r/>
            <w:r>
              <w:rPr>
                <w:rFonts w:ascii="Calibri" w:hAnsi="Calibri"/>
                <w:b w:val="0"/>
                <w:color w:val="1A1A1A"/>
                <w:sz w:val="24"/>
              </w:rPr>
              <w:t>Incorporação de contribuição técnica interna apresentada pela Vice-Presidência do Núcleo 5, com crédito a registrar em ata. A cobertura anterior deixava de fora temas de alta frequência, como nódulos tardios, infecção pós-procedimento e fluxo de kit de emergência.</w:t>
            </w:r>
          </w:p>
        </w:tc>
      </w:tr>
      <w:tr>
        <w:trPr>
          <w:cantSplit/>
        </w:trPr>
        <w:tc>
          <w:tcPr>
            <w:tcW w:type="dxa" w:w="3791"/>
          </w:tcPr>
          <w:p>
            <w:pPr>
              <w:spacing w:after="0"/>
              <w:jc w:val="left"/>
            </w:pPr>
            <w:r/>
            <w:r>
              <w:rPr>
                <w:rFonts w:ascii="Calibri" w:hAnsi="Calibri"/>
                <w:b w:val="0"/>
                <w:color w:val="1A1A1A"/>
                <w:sz w:val="24"/>
              </w:rPr>
              <w:t>Foi especificado o cartão de consulta rápida como produto derivado do POP.</w:t>
            </w:r>
          </w:p>
        </w:tc>
        <w:tc>
          <w:tcPr>
            <w:tcW w:type="dxa" w:w="5281"/>
          </w:tcPr>
          <w:p>
            <w:pPr>
              <w:spacing w:after="0"/>
              <w:jc w:val="left"/>
            </w:pPr>
            <w:r/>
            <w:r>
              <w:rPr>
                <w:rFonts w:ascii="Calibri" w:hAnsi="Calibri"/>
                <w:b w:val="0"/>
                <w:color w:val="1A1A1A"/>
                <w:sz w:val="24"/>
              </w:rPr>
              <w:t>Formato de página única com quatro passos, também oriundo da contribuição interna. Resolve um problema real de uso, já que POP completo não se lê durante uma intercorrência, sem substituir o documento auditável.</w:t>
            </w:r>
          </w:p>
        </w:tc>
      </w:tr>
      <w:tr>
        <w:trPr>
          <w:cantSplit/>
        </w:trPr>
        <w:tc>
          <w:tcPr>
            <w:tcW w:type="dxa" w:w="3791"/>
            <w:shd w:val="clear" w:color="auto" w:fill="F2F5F8"/>
          </w:tcPr>
          <w:p>
            <w:pPr>
              <w:spacing w:after="0"/>
              <w:jc w:val="left"/>
            </w:pPr>
            <w:r/>
            <w:r>
              <w:rPr>
                <w:rFonts w:ascii="Calibri" w:hAnsi="Calibri"/>
                <w:b w:val="0"/>
                <w:color w:val="1A1A1A"/>
                <w:sz w:val="24"/>
              </w:rPr>
              <w:t>O ciclo tem doze metas, e não dez.</w:t>
            </w:r>
          </w:p>
        </w:tc>
        <w:tc>
          <w:tcPr>
            <w:tcW w:type="dxa" w:w="5281"/>
            <w:shd w:val="clear" w:color="auto" w:fill="F2F5F8"/>
          </w:tcPr>
          <w:p>
            <w:pPr>
              <w:spacing w:after="0"/>
              <w:jc w:val="left"/>
            </w:pPr>
            <w:r/>
            <w:r>
              <w:rPr>
                <w:rFonts w:ascii="Calibri" w:hAnsi="Calibri"/>
                <w:b w:val="0"/>
                <w:color w:val="1A1A1A"/>
                <w:sz w:val="24"/>
              </w:rPr>
              <w:t>Versões anteriores deste índice tratavam a M10 como consolidação e entrega. Pelo relatório estratégico, M10 é a submissão à Diretoria em novembro, M11 é o Fórum de Tecnologias Emergentes com entrega oficial em dezembro e M12 é a exigência de seis reuniões documentadas. A correção está aplicada em todo o pacote.</w:t>
            </w:r>
          </w:p>
        </w:tc>
      </w:tr>
      <w:tr>
        <w:trPr>
          <w:cantSplit/>
        </w:trPr>
        <w:tc>
          <w:tcPr>
            <w:tcW w:type="dxa" w:w="3791"/>
          </w:tcPr>
          <w:p>
            <w:pPr>
              <w:spacing w:after="0"/>
              <w:jc w:val="left"/>
            </w:pPr>
            <w:r/>
            <w:r>
              <w:rPr>
                <w:rFonts w:ascii="Calibri" w:hAnsi="Calibri"/>
                <w:b w:val="0"/>
                <w:color w:val="1A1A1A"/>
                <w:sz w:val="24"/>
              </w:rPr>
              <w:t>A Meta M9 apresenta divergência de indicador, registrada e não contornada.</w:t>
            </w:r>
          </w:p>
        </w:tc>
        <w:tc>
          <w:tcPr>
            <w:tcW w:type="dxa" w:w="5281"/>
          </w:tcPr>
          <w:p>
            <w:pPr>
              <w:spacing w:after="0"/>
              <w:jc w:val="left"/>
            </w:pPr>
            <w:r/>
            <w:r>
              <w:rPr>
                <w:rFonts w:ascii="Calibri" w:hAnsi="Calibri"/>
                <w:b w:val="0"/>
                <w:color w:val="1A1A1A"/>
                <w:sz w:val="24"/>
              </w:rPr>
              <w:t>O indicador aprovado prevê seis dimensões e o relatório aplica oito. A entrega é superior, porém não coincidente. A resolução depende de deliberação do colegiado, e consta do documento 14 e do anexo II do documento 25.</w:t>
            </w:r>
          </w:p>
        </w:tc>
      </w:tr>
      <w:tr>
        <w:trPr>
          <w:cantSplit/>
        </w:trPr>
        <w:tc>
          <w:tcPr>
            <w:tcW w:type="dxa" w:w="3791"/>
            <w:shd w:val="clear" w:color="auto" w:fill="F2F5F8"/>
          </w:tcPr>
          <w:p>
            <w:pPr>
              <w:spacing w:after="0"/>
              <w:jc w:val="left"/>
            </w:pPr>
            <w:r/>
            <w:r>
              <w:rPr>
                <w:rFonts w:ascii="Calibri" w:hAnsi="Calibri"/>
                <w:b w:val="0"/>
                <w:color w:val="1A1A1A"/>
                <w:sz w:val="24"/>
              </w:rPr>
              <w:t>Os POPs foram fechados em processo, com os parâmetros por produto em aberto.</w:t>
            </w:r>
          </w:p>
        </w:tc>
        <w:tc>
          <w:tcPr>
            <w:tcW w:type="dxa" w:w="5281"/>
            <w:shd w:val="clear" w:color="auto" w:fill="F2F5F8"/>
          </w:tcPr>
          <w:p>
            <w:pPr>
              <w:spacing w:after="0"/>
              <w:jc w:val="left"/>
            </w:pPr>
            <w:r/>
            <w:r>
              <w:rPr>
                <w:rFonts w:ascii="Calibri" w:hAnsi="Calibri"/>
                <w:b w:val="0"/>
                <w:color w:val="1A1A1A"/>
                <w:sz w:val="24"/>
              </w:rPr>
              <w:t>Os vinte e um POPs trazem os doze campos preenchidos quanto a processo, critério de decisão, verificação, alerta, escalonamento e registro. Dose, volume, diluição e energia permanecem como campo de preenchimento pelo serviço, a partir das instruções de uso do produto adotado. Um conselho não fixa dose de produto que a clínica ainda não escolheu.</w:t>
            </w:r>
          </w:p>
        </w:tc>
      </w:tr>
      <w:tr>
        <w:trPr>
          <w:cantSplit/>
        </w:trPr>
        <w:tc>
          <w:tcPr>
            <w:tcW w:type="dxa" w:w="3791"/>
          </w:tcPr>
          <w:p>
            <w:pPr>
              <w:spacing w:after="0"/>
              <w:jc w:val="left"/>
            </w:pPr>
            <w:r/>
            <w:r>
              <w:rPr>
                <w:rFonts w:ascii="Calibri" w:hAnsi="Calibri"/>
                <w:b w:val="0"/>
                <w:color w:val="1A1A1A"/>
                <w:sz w:val="24"/>
              </w:rPr>
              <w:t>Foram entregues os instrumentos que os documentos citavam sem fornecer.</w:t>
            </w:r>
          </w:p>
        </w:tc>
        <w:tc>
          <w:tcPr>
            <w:tcW w:type="dxa" w:w="5281"/>
          </w:tcPr>
          <w:p>
            <w:pPr>
              <w:spacing w:after="0"/>
              <w:jc w:val="left"/>
            </w:pPr>
            <w:r/>
            <w:r>
              <w:rPr>
                <w:rFonts w:ascii="Calibri" w:hAnsi="Calibri"/>
                <w:b w:val="0"/>
                <w:color w:val="1A1A1A"/>
                <w:sz w:val="24"/>
              </w:rPr>
              <w:t>Ficha de notificação, dossiê de tecnologia, registro de intercorrência e plano de capacitação passam a existir como formulários, no documento 19. Antes eram exigidos e não entregues, o que transferia ao serviço a tarefa de inventá-los.</w:t>
            </w:r>
          </w:p>
        </w:tc>
      </w:tr>
      <w:tr>
        <w:trPr>
          <w:cantSplit/>
        </w:trPr>
        <w:tc>
          <w:tcPr>
            <w:tcW w:type="dxa" w:w="3791"/>
            <w:shd w:val="clear" w:color="auto" w:fill="F2F5F8"/>
          </w:tcPr>
          <w:p>
            <w:pPr>
              <w:spacing w:after="0"/>
              <w:jc w:val="left"/>
            </w:pPr>
            <w:r/>
            <w:r>
              <w:rPr>
                <w:rFonts w:ascii="Calibri" w:hAnsi="Calibri"/>
                <w:b w:val="0"/>
                <w:color w:val="1A1A1A"/>
                <w:sz w:val="24"/>
              </w:rPr>
              <w:t>A assinatura pública do conteúdo passa a ser a Câmara Técnica, e não o Núcleo 5.</w:t>
            </w:r>
          </w:p>
        </w:tc>
        <w:tc>
          <w:tcPr>
            <w:tcW w:type="dxa" w:w="5281"/>
            <w:shd w:val="clear" w:color="auto" w:fill="F2F5F8"/>
          </w:tcPr>
          <w:p>
            <w:pPr>
              <w:spacing w:after="0"/>
              <w:jc w:val="left"/>
            </w:pPr>
            <w:r/>
            <w:r>
              <w:rPr>
                <w:rFonts w:ascii="Calibri" w:hAnsi="Calibri"/>
                <w:b w:val="0"/>
                <w:color w:val="1A1A1A"/>
                <w:sz w:val="24"/>
              </w:rPr>
              <w:t>Para o público, o que confere autoridade é a Câmara Técnica de Harmonização Orofacial do CRO-MG. A autoria interna permanece no controle do Núcleo e na página de transparência. Vale para os documentos 15, 16 e 17.</w:t>
            </w:r>
          </w:p>
        </w:tc>
      </w:tr>
      <w:tr>
        <w:trPr>
          <w:cantSplit/>
        </w:trPr>
        <w:tc>
          <w:tcPr>
            <w:tcW w:type="dxa" w:w="3791"/>
          </w:tcPr>
          <w:p>
            <w:pPr>
              <w:spacing w:after="0"/>
              <w:jc w:val="left"/>
            </w:pPr>
            <w:r/>
            <w:r>
              <w:rPr>
                <w:rFonts w:ascii="Calibri" w:hAnsi="Calibri"/>
                <w:b w:val="0"/>
                <w:color w:val="1A1A1A"/>
                <w:sz w:val="24"/>
              </w:rPr>
              <w:t>O padrão editorial foi unificado em todo o pacote.</w:t>
            </w:r>
          </w:p>
        </w:tc>
        <w:tc>
          <w:tcPr>
            <w:tcW w:type="dxa" w:w="5281"/>
          </w:tcPr>
          <w:p>
            <w:pPr>
              <w:spacing w:after="0"/>
              <w:jc w:val="left"/>
            </w:pPr>
            <w:r/>
            <w:r>
              <w:rPr>
                <w:rFonts w:ascii="Calibri" w:hAnsi="Calibri"/>
                <w:b w:val="0"/>
                <w:color w:val="1A1A1A"/>
                <w:sz w:val="24"/>
              </w:rPr>
              <w:t>Corpo e células de tabela em 12pt no mínimo, texto justificado, fundo branco, cabeçalhos em linha única e ausência de travessões.</w:t>
            </w:r>
          </w:p>
        </w:tc>
      </w:tr>
    </w:tbl>
    <w:p>
      <w:pPr>
        <w:keepNext/>
        <w:spacing w:before="360" w:after="160"/>
        <w:jc w:val="left"/>
        <w:pBdr>
          <w:bottom w:val="single" w:sz="8" w:space="4" w:color="143C64"/>
        </w:pBdr>
      </w:pPr>
      <w:r>
        <w:rPr>
          <w:rFonts w:ascii="Calibri" w:hAnsi="Calibri"/>
          <w:b/>
          <w:color w:val="143C64"/>
          <w:sz w:val="30"/>
        </w:rPr>
        <w:t>5  Situações contenciosas registradas</w:t>
      </w:r>
    </w:p>
    <w:p>
      <w:pPr>
        <w:spacing w:after="120"/>
        <w:jc w:val="both"/>
      </w:pPr>
      <w:r>
        <w:rPr>
          <w:rFonts w:ascii="Calibri" w:hAnsi="Calibri"/>
          <w:b w:val="0"/>
          <w:i w:val="0"/>
          <w:color w:val="1A1A1A"/>
          <w:sz w:val="24"/>
        </w:rPr>
        <w:t>Duas controvérsias judiciais em curso alcançam a camada de exercício profissional. Nenhuma delas afeta a fundamentação deste pacote, que é sanitária. Ambas são registradas por dever de atualidade, com data e número de processo, e sem que o Núcleo se pronuncie sobre o mérito, matéria estranha à sua competência técnica.</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FBF0E6"/>
          <w:bottom w:val="single" w:sz="4" w:space="0" w:color="FBF0E6"/>
          <w:right w:val="single" w:sz="4" w:space="0" w:color="FBF0E6"/>
          <w:insideH w:val="single" w:sz="4" w:space="0" w:color="FBF0E6"/>
          <w:insideV w:val="single" w:sz="4" w:space="0" w:color="FBF0E6"/>
          <w:left w:val="single" w:sz="24" w:space="0" w:color="A05A2C"/>
        </w:tblBorders>
        <w:tblLayout w:type="fixed"/>
      </w:tblPr>
      <w:tblGrid>
        <w:gridCol w:w="9072"/>
      </w:tblGrid>
      <w:tr>
        <w:tc>
          <w:tcPr>
            <w:tcW w:type="dxa" w:w="9072"/>
            <w:shd w:val="clear" w:color="auto" w:fill="FBF0E6"/>
          </w:tcPr>
          <w:p>
            <w:pPr>
              <w:spacing w:after="60"/>
              <w:jc w:val="left"/>
            </w:pPr>
            <w:r/>
            <w:r>
              <w:rPr>
                <w:rFonts w:ascii="Calibri" w:hAnsi="Calibri"/>
                <w:b/>
                <w:color w:val="143C64"/>
                <w:sz w:val="24"/>
              </w:rPr>
              <w:t>Registro de situação contenciosa, verificado em 25 de agosto de 2026</w:t>
            </w:r>
          </w:p>
          <w:p>
            <w:pPr>
              <w:spacing w:after="0"/>
              <w:jc w:val="both"/>
            </w:pPr>
            <w:r>
              <w:rPr>
                <w:rFonts w:ascii="Calibri" w:hAnsi="Calibri"/>
                <w:color w:val="1A1A1A"/>
                <w:sz w:val="24"/>
              </w:rPr>
              <w:t>Em 19 de agosto de 2026, a 8ª Turma do Tribunal Regional Federal da 1ª Região decidiu, por três votos a dois, pela anulação da Resolução CFO nº 198/2019, no processo nº 1003948-83.2019.4.01.3400. Segundo as fontes consultadas, ainda cabe recurso e a medida produz efeito a partir da publicação do acórdão. O Conselho Federal de Odontologia manifestou discordância e informou que adotará as medidas judiciais cabíveis, registrando que, naquele momento, não havia mudança nas atribuições dos cirurgiões-dentistas. Este pacote não depende dessa resolução: sua fundamentação é sanitária, apoiada na RDC Anvisa nº 1.002/2025 e nos demais atos listados no mapa normativo. O fato é registrado por dever de atualidade, e não como posição do Núcleo sobre o mérito da decisão judicial, matéria estranha à sua competência técnica.</w:t>
            </w:r>
          </w:p>
        </w:tc>
      </w:tr>
    </w:tbl>
    <w:p>
      <w:pPr>
        <w:spacing w:after="80"/>
      </w:pP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FBF0E6"/>
          <w:bottom w:val="single" w:sz="4" w:space="0" w:color="FBF0E6"/>
          <w:right w:val="single" w:sz="4" w:space="0" w:color="FBF0E6"/>
          <w:insideH w:val="single" w:sz="4" w:space="0" w:color="FBF0E6"/>
          <w:insideV w:val="single" w:sz="4" w:space="0" w:color="FBF0E6"/>
          <w:left w:val="single" w:sz="24" w:space="0" w:color="A05A2C"/>
        </w:tblBorders>
        <w:tblLayout w:type="fixed"/>
      </w:tblPr>
      <w:tblGrid>
        <w:gridCol w:w="9072"/>
      </w:tblGrid>
      <w:tr>
        <w:tc>
          <w:tcPr>
            <w:tcW w:type="dxa" w:w="9072"/>
            <w:shd w:val="clear" w:color="auto" w:fill="FBF0E6"/>
          </w:tcPr>
          <w:p>
            <w:pPr>
              <w:spacing w:after="60"/>
              <w:jc w:val="left"/>
            </w:pPr>
            <w:r/>
            <w:r>
              <w:rPr>
                <w:rFonts w:ascii="Calibri" w:hAnsi="Calibri"/>
                <w:b/>
                <w:color w:val="143C64"/>
                <w:sz w:val="24"/>
              </w:rPr>
              <w:t>Registro de situação contenciosa conexa, verificado em 25 de agosto de 2026</w:t>
            </w:r>
          </w:p>
          <w:p>
            <w:pPr>
              <w:spacing w:after="0"/>
              <w:jc w:val="both"/>
            </w:pPr>
            <w:r>
              <w:rPr>
                <w:rFonts w:ascii="Calibri" w:hAnsi="Calibri"/>
                <w:color w:val="1A1A1A"/>
                <w:sz w:val="24"/>
              </w:rPr>
              <w:t>Em 6 de agosto de 2026, a 3ª Vara Federal Cível da Seção Judiciária do Distrito Federal deferiu liminar na Ação Civil Pública nº 1084782-29.2026.4.01.3400, ajuizada pelo Conselho Federal de Medicina, pela Associação Médica Brasileira e pela Sociedade Brasileira de Anestesiologia, suspendendo parcialmente a Resolução CFO nº 295/2026. Conforme as fontes consultadas, a decisão suspendeu os dispositivos que autorizam, regulamentam ou viabilizam a realização de sedação profunda por cirurgiões-dentistas, e vedou ao CFO conceder ou registrar a habilitação correspondente e reconhecer cursos com essa finalidade, tendo o magistrado assentado, em análise preliminar, que a sedação profunda é atividade privativa do médico nos termos da Lei nº 12.842/2013. Registra-se por dever de atualidade, e não como posição do Núcleo sobre o mérito, matéria estranha à sua competência técnica. Consequência operacional para este pacote: nenhum documento do Núcleo 5 pressupõe sedação profunda como recurso disponível, e os POPs e o fluxograma trabalham com medidas de suporte compatíveis com a capacitação do profissional e com o regime jurídico vigente na data desta versão.</w:t>
            </w:r>
          </w:p>
        </w:tc>
      </w:tr>
    </w:tbl>
    <w:p>
      <w:pPr>
        <w:spacing w:after="80"/>
      </w:pPr>
    </w:p>
    <w:p>
      <w:r>
        <w:br w:type="page"/>
      </w:r>
    </w:p>
    <w:p>
      <w:pPr>
        <w:keepNext/>
        <w:spacing w:before="360" w:after="160"/>
        <w:jc w:val="left"/>
        <w:pBdr>
          <w:bottom w:val="single" w:sz="8" w:space="4" w:color="143C64"/>
        </w:pBdr>
      </w:pPr>
      <w:r>
        <w:rPr>
          <w:rFonts w:ascii="Calibri" w:hAnsi="Calibri"/>
          <w:b/>
          <w:color w:val="143C64"/>
          <w:sz w:val="30"/>
        </w:rPr>
        <w:t>6  Pendências declaradas do pacote</w:t>
      </w:r>
    </w:p>
    <w:p>
      <w:pPr>
        <w:spacing w:after="120"/>
        <w:jc w:val="both"/>
      </w:pPr>
      <w:r>
        <w:rPr>
          <w:rFonts w:ascii="Calibri" w:hAnsi="Calibri"/>
          <w:b w:val="0"/>
          <w:i w:val="0"/>
          <w:color w:val="1A1A1A"/>
          <w:sz w:val="24"/>
        </w:rPr>
        <w:t>As pendências abaixo são declaradas de forma deliberada. Nenhuma delas foi contornada por estimativa, inferência ou linguagem vaga.</w:t>
      </w:r>
    </w:p>
    <w:tbl>
      <w:tblPr>
        <w:tblW w:type="auto" w:w="0"/>
        <w:jc w:val="center"/>
        <w:tblLook w:firstColumn="1" w:firstRow="1" w:lastColumn="0" w:lastRow="0" w:noHBand="0" w:noVBand="1" w:val="04A0"/>
        <w:tblBorders>
          <w:top w:val="single" w:sz="6" w:space="0" w:color="B9C2CC"/>
          <w:left w:val="single" w:sz="6" w:space="0" w:color="B9C2CC"/>
          <w:bottom w:val="single" w:sz="6" w:space="0" w:color="B9C2CC"/>
          <w:right w:val="single" w:sz="6" w:space="0" w:color="B9C2CC"/>
          <w:insideH w:val="single" w:sz="6" w:space="0" w:color="B9C2CC"/>
          <w:insideV w:val="single" w:sz="6" w:space="0" w:color="B9C2CC"/>
        </w:tblBorders>
        <w:tblCellMar>
          <w:top w:w="60" w:type="dxa"/>
          <w:left w:w="100" w:type="dxa"/>
          <w:bottom w:w="60" w:type="dxa"/>
          <w:right w:w="100" w:type="dxa"/>
        </w:tblCellMar>
        <w:tblLayout w:type="fixed"/>
      </w:tblPr>
      <w:tblGrid>
        <w:gridCol w:w="3370"/>
        <w:gridCol w:w="2920"/>
        <w:gridCol w:w="2782"/>
      </w:tblGrid>
      <w:tr>
        <w:trPr>
          <w:cantSplit/>
          <w:tblHeader/>
        </w:trPr>
        <w:tc>
          <w:tcPr>
            <w:tcW w:type="dxa" w:w="3370"/>
            <w:shd w:val="clear" w:color="auto" w:fill="143C64"/>
          </w:tcPr>
          <w:p>
            <w:pPr>
              <w:spacing w:after="0"/>
              <w:jc w:val="left"/>
            </w:pPr>
            <w:r/>
            <w:r>
              <w:rPr>
                <w:rFonts w:ascii="Calibri" w:hAnsi="Calibri"/>
                <w:b/>
                <w:color w:val="FFFFFF"/>
                <w:sz w:val="24"/>
              </w:rPr>
              <w:t>Pendência</w:t>
            </w:r>
          </w:p>
        </w:tc>
        <w:tc>
          <w:tcPr>
            <w:tcW w:type="dxa" w:w="2920"/>
            <w:shd w:val="clear" w:color="auto" w:fill="143C64"/>
          </w:tcPr>
          <w:p>
            <w:pPr>
              <w:spacing w:after="0"/>
              <w:jc w:val="left"/>
            </w:pPr>
            <w:r/>
            <w:r>
              <w:rPr>
                <w:rFonts w:ascii="Calibri" w:hAnsi="Calibri"/>
                <w:b/>
                <w:color w:val="FFFFFF"/>
                <w:sz w:val="24"/>
              </w:rPr>
              <w:t>Natureza</w:t>
            </w:r>
          </w:p>
        </w:tc>
        <w:tc>
          <w:tcPr>
            <w:tcW w:type="dxa" w:w="2782"/>
            <w:shd w:val="clear" w:color="auto" w:fill="143C64"/>
          </w:tcPr>
          <w:p>
            <w:pPr>
              <w:spacing w:after="0"/>
              <w:jc w:val="left"/>
            </w:pPr>
            <w:r/>
            <w:r>
              <w:rPr>
                <w:rFonts w:ascii="Calibri" w:hAnsi="Calibri"/>
                <w:b/>
                <w:color w:val="FFFFFF"/>
                <w:sz w:val="24"/>
              </w:rPr>
              <w:t>O que a resolve</w:t>
            </w:r>
          </w:p>
        </w:tc>
      </w:tr>
      <w:tr>
        <w:trPr>
          <w:cantSplit/>
        </w:trPr>
        <w:tc>
          <w:tcPr>
            <w:tcW w:type="dxa" w:w="3370"/>
          </w:tcPr>
          <w:p>
            <w:pPr>
              <w:spacing w:after="0"/>
              <w:jc w:val="left"/>
            </w:pPr>
            <w:r/>
            <w:r>
              <w:rPr>
                <w:rFonts w:ascii="Calibri" w:hAnsi="Calibri"/>
                <w:b w:val="0"/>
                <w:color w:val="1A1A1A"/>
                <w:sz w:val="24"/>
              </w:rPr>
              <w:t>Panorama epidemiológico de intercorrências em Minas Gerais.</w:t>
            </w:r>
          </w:p>
        </w:tc>
        <w:tc>
          <w:tcPr>
            <w:tcW w:type="dxa" w:w="2920"/>
          </w:tcPr>
          <w:p>
            <w:pPr>
              <w:spacing w:after="0"/>
              <w:jc w:val="left"/>
            </w:pPr>
            <w:r/>
            <w:r>
              <w:rPr>
                <w:rFonts w:ascii="Calibri" w:hAnsi="Calibri"/>
                <w:b w:val="0"/>
                <w:color w:val="1A1A1A"/>
                <w:sz w:val="24"/>
              </w:rPr>
              <w:t>Dados primários inexistentes.</w:t>
            </w:r>
          </w:p>
        </w:tc>
        <w:tc>
          <w:tcPr>
            <w:tcW w:type="dxa" w:w="2782"/>
          </w:tcPr>
          <w:p>
            <w:pPr>
              <w:spacing w:after="0"/>
              <w:jc w:val="left"/>
            </w:pPr>
            <w:r/>
            <w:r>
              <w:rPr>
                <w:rFonts w:ascii="Calibri" w:hAnsi="Calibri"/>
                <w:b w:val="0"/>
                <w:color w:val="1A1A1A"/>
                <w:sz w:val="24"/>
              </w:rPr>
              <w:t>Resposta às consultas formais do documento 03 e execução do protocolo do documento 04.</w:t>
            </w:r>
          </w:p>
        </w:tc>
      </w:tr>
      <w:tr>
        <w:trPr>
          <w:cantSplit/>
        </w:trPr>
        <w:tc>
          <w:tcPr>
            <w:tcW w:type="dxa" w:w="3370"/>
            <w:shd w:val="clear" w:color="auto" w:fill="F2F5F8"/>
          </w:tcPr>
          <w:p>
            <w:pPr>
              <w:spacing w:after="0"/>
              <w:jc w:val="left"/>
            </w:pPr>
            <w:r/>
            <w:r>
              <w:rPr>
                <w:rFonts w:ascii="Calibri" w:hAnsi="Calibri"/>
                <w:b w:val="0"/>
                <w:color w:val="1A1A1A"/>
                <w:sz w:val="24"/>
              </w:rPr>
              <w:t>Verificação regulatória por equipamento específico na avaliação-piloto.</w:t>
            </w:r>
          </w:p>
        </w:tc>
        <w:tc>
          <w:tcPr>
            <w:tcW w:type="dxa" w:w="2920"/>
            <w:shd w:val="clear" w:color="auto" w:fill="F2F5F8"/>
          </w:tcPr>
          <w:p>
            <w:pPr>
              <w:spacing w:after="0"/>
              <w:jc w:val="left"/>
            </w:pPr>
            <w:r/>
            <w:r>
              <w:rPr>
                <w:rFonts w:ascii="Calibri" w:hAnsi="Calibri"/>
                <w:b w:val="0"/>
                <w:color w:val="1A1A1A"/>
                <w:sz w:val="24"/>
              </w:rPr>
              <w:t>Verificação não realizada.</w:t>
            </w:r>
          </w:p>
        </w:tc>
        <w:tc>
          <w:tcPr>
            <w:tcW w:type="dxa" w:w="2782"/>
            <w:shd w:val="clear" w:color="auto" w:fill="F2F5F8"/>
          </w:tcPr>
          <w:p>
            <w:pPr>
              <w:spacing w:after="0"/>
              <w:jc w:val="left"/>
            </w:pPr>
            <w:r/>
            <w:r>
              <w:rPr>
                <w:rFonts w:ascii="Calibri" w:hAnsi="Calibri"/>
                <w:b w:val="0"/>
                <w:color w:val="1A1A1A"/>
                <w:sz w:val="24"/>
              </w:rPr>
              <w:t>Consulta às bases oficiais por equipamento, com registro de data e responsável.</w:t>
            </w:r>
          </w:p>
        </w:tc>
      </w:tr>
      <w:tr>
        <w:trPr>
          <w:cantSplit/>
        </w:trPr>
        <w:tc>
          <w:tcPr>
            <w:tcW w:type="dxa" w:w="3370"/>
          </w:tcPr>
          <w:p>
            <w:pPr>
              <w:spacing w:after="0"/>
              <w:jc w:val="left"/>
            </w:pPr>
            <w:r/>
            <w:r>
              <w:rPr>
                <w:rFonts w:ascii="Calibri" w:hAnsi="Calibri"/>
                <w:b w:val="0"/>
                <w:color w:val="1A1A1A"/>
                <w:sz w:val="24"/>
              </w:rPr>
              <w:t>Definição institucional de competência para a tecnologia-piloto.</w:t>
            </w:r>
          </w:p>
        </w:tc>
        <w:tc>
          <w:tcPr>
            <w:tcW w:type="dxa" w:w="2920"/>
          </w:tcPr>
          <w:p>
            <w:pPr>
              <w:spacing w:after="0"/>
              <w:jc w:val="left"/>
            </w:pPr>
            <w:r/>
            <w:r>
              <w:rPr>
                <w:rFonts w:ascii="Calibri" w:hAnsi="Calibri"/>
                <w:b w:val="0"/>
                <w:color w:val="1A1A1A"/>
                <w:sz w:val="24"/>
              </w:rPr>
              <w:t>Matéria afetada pela situação contenciosa.</w:t>
            </w:r>
          </w:p>
        </w:tc>
        <w:tc>
          <w:tcPr>
            <w:tcW w:type="dxa" w:w="2782"/>
          </w:tcPr>
          <w:p>
            <w:pPr>
              <w:spacing w:after="0"/>
              <w:jc w:val="left"/>
            </w:pPr>
            <w:r/>
            <w:r>
              <w:rPr>
                <w:rFonts w:ascii="Calibri" w:hAnsi="Calibri"/>
                <w:b w:val="0"/>
                <w:color w:val="1A1A1A"/>
                <w:sz w:val="24"/>
              </w:rPr>
              <w:t>Manifestação institucional após publicação do acórdão e eventuais recursos.</w:t>
            </w:r>
          </w:p>
        </w:tc>
      </w:tr>
      <w:tr>
        <w:trPr>
          <w:cantSplit/>
        </w:trPr>
        <w:tc>
          <w:tcPr>
            <w:tcW w:type="dxa" w:w="3370"/>
            <w:shd w:val="clear" w:color="auto" w:fill="F2F5F8"/>
          </w:tcPr>
          <w:p>
            <w:pPr>
              <w:spacing w:after="0"/>
              <w:jc w:val="left"/>
            </w:pPr>
            <w:r/>
            <w:r>
              <w:rPr>
                <w:rFonts w:ascii="Calibri" w:hAnsi="Calibri"/>
                <w:b w:val="0"/>
                <w:color w:val="1A1A1A"/>
                <w:sz w:val="24"/>
              </w:rPr>
              <w:t>Composição do kit de resposta a intercorrências para o serviço odontológico.</w:t>
            </w:r>
          </w:p>
        </w:tc>
        <w:tc>
          <w:tcPr>
            <w:tcW w:type="dxa" w:w="2920"/>
            <w:shd w:val="clear" w:color="auto" w:fill="F2F5F8"/>
          </w:tcPr>
          <w:p>
            <w:pPr>
              <w:spacing w:after="0"/>
              <w:jc w:val="left"/>
            </w:pPr>
            <w:r/>
            <w:r>
              <w:rPr>
                <w:rFonts w:ascii="Calibri" w:hAnsi="Calibri"/>
                <w:b w:val="0"/>
                <w:color w:val="1A1A1A"/>
                <w:sz w:val="24"/>
              </w:rPr>
              <w:t>Literatura de origem médica.</w:t>
            </w:r>
          </w:p>
        </w:tc>
        <w:tc>
          <w:tcPr>
            <w:tcW w:type="dxa" w:w="2782"/>
            <w:shd w:val="clear" w:color="auto" w:fill="F2F5F8"/>
          </w:tcPr>
          <w:p>
            <w:pPr>
              <w:spacing w:after="0"/>
              <w:jc w:val="left"/>
            </w:pPr>
            <w:r/>
            <w:r>
              <w:rPr>
                <w:rFonts w:ascii="Calibri" w:hAnsi="Calibri"/>
                <w:b w:val="0"/>
                <w:color w:val="1A1A1A"/>
                <w:sz w:val="24"/>
              </w:rPr>
              <w:t>Deliberação própria do colegiado, com apoio jurídico e sanitário.</w:t>
            </w:r>
          </w:p>
        </w:tc>
      </w:tr>
      <w:tr>
        <w:trPr>
          <w:cantSplit/>
        </w:trPr>
        <w:tc>
          <w:tcPr>
            <w:tcW w:type="dxa" w:w="3370"/>
          </w:tcPr>
          <w:p>
            <w:pPr>
              <w:spacing w:after="0"/>
              <w:jc w:val="left"/>
            </w:pPr>
            <w:r/>
            <w:r>
              <w:rPr>
                <w:rFonts w:ascii="Calibri" w:hAnsi="Calibri"/>
                <w:b w:val="0"/>
                <w:color w:val="1A1A1A"/>
                <w:sz w:val="24"/>
              </w:rPr>
              <w:t>Parâmetros clínicos dos POPs das ondas 1 e 2.</w:t>
            </w:r>
          </w:p>
        </w:tc>
        <w:tc>
          <w:tcPr>
            <w:tcW w:type="dxa" w:w="2920"/>
          </w:tcPr>
          <w:p>
            <w:pPr>
              <w:spacing w:after="0"/>
              <w:jc w:val="left"/>
            </w:pPr>
            <w:r/>
            <w:r>
              <w:rPr>
                <w:rFonts w:ascii="Calibri" w:hAnsi="Calibri"/>
                <w:b w:val="0"/>
                <w:color w:val="1A1A1A"/>
                <w:sz w:val="24"/>
              </w:rPr>
              <w:t>Dependem de produto e de deliberação.</w:t>
            </w:r>
          </w:p>
        </w:tc>
        <w:tc>
          <w:tcPr>
            <w:tcW w:type="dxa" w:w="2782"/>
          </w:tcPr>
          <w:p>
            <w:pPr>
              <w:spacing w:after="0"/>
              <w:jc w:val="left"/>
            </w:pPr>
            <w:r/>
            <w:r>
              <w:rPr>
                <w:rFonts w:ascii="Calibri" w:hAnsi="Calibri"/>
                <w:b w:val="0"/>
                <w:color w:val="1A1A1A"/>
                <w:sz w:val="24"/>
              </w:rPr>
              <w:t>Eleição da tecnologia e aprovação dos parâmetros em reunião registrada.</w:t>
            </w:r>
          </w:p>
        </w:tc>
      </w:tr>
      <w:tr>
        <w:trPr>
          <w:cantSplit/>
        </w:trPr>
        <w:tc>
          <w:tcPr>
            <w:tcW w:type="dxa" w:w="3370"/>
            <w:shd w:val="clear" w:color="auto" w:fill="F2F5F8"/>
          </w:tcPr>
          <w:p>
            <w:pPr>
              <w:spacing w:after="0"/>
              <w:jc w:val="left"/>
            </w:pPr>
            <w:r/>
            <w:r>
              <w:rPr>
                <w:rFonts w:ascii="Calibri" w:hAnsi="Calibri"/>
                <w:b w:val="0"/>
                <w:color w:val="1A1A1A"/>
                <w:sz w:val="24"/>
              </w:rPr>
              <w:t>Modelos de termo de consentimento por procedimento.</w:t>
            </w:r>
          </w:p>
        </w:tc>
        <w:tc>
          <w:tcPr>
            <w:tcW w:type="dxa" w:w="2920"/>
            <w:shd w:val="clear" w:color="auto" w:fill="F2F5F8"/>
          </w:tcPr>
          <w:p>
            <w:pPr>
              <w:spacing w:after="0"/>
              <w:jc w:val="left"/>
            </w:pPr>
            <w:r/>
            <w:r>
              <w:rPr>
                <w:rFonts w:ascii="Calibri" w:hAnsi="Calibri"/>
                <w:b w:val="0"/>
                <w:color w:val="1A1A1A"/>
                <w:sz w:val="24"/>
              </w:rPr>
              <w:t>Exigem revisão jurídica.</w:t>
            </w:r>
          </w:p>
        </w:tc>
        <w:tc>
          <w:tcPr>
            <w:tcW w:type="dxa" w:w="2782"/>
            <w:shd w:val="clear" w:color="auto" w:fill="F2F5F8"/>
          </w:tcPr>
          <w:p>
            <w:pPr>
              <w:spacing w:after="0"/>
              <w:jc w:val="left"/>
            </w:pPr>
            <w:r/>
            <w:r>
              <w:rPr>
                <w:rFonts w:ascii="Calibri" w:hAnsi="Calibri"/>
                <w:b w:val="0"/>
                <w:color w:val="1A1A1A"/>
                <w:sz w:val="24"/>
              </w:rPr>
              <w:t>Revisão pela assessoria jurídica do CRO-MG antes de qualquer circulação.</w:t>
            </w:r>
          </w:p>
        </w:tc>
      </w:tr>
      <w:tr>
        <w:trPr>
          <w:cantSplit/>
        </w:trPr>
        <w:tc>
          <w:tcPr>
            <w:tcW w:type="dxa" w:w="3370"/>
          </w:tcPr>
          <w:p>
            <w:pPr>
              <w:spacing w:after="0"/>
              <w:jc w:val="left"/>
            </w:pPr>
            <w:r/>
            <w:r>
              <w:rPr>
                <w:rFonts w:ascii="Calibri" w:hAnsi="Calibri"/>
                <w:b w:val="0"/>
                <w:color w:val="1A1A1A"/>
                <w:sz w:val="24"/>
              </w:rPr>
              <w:t>Matriz de periodicidade de manutenção por tipo de equipamento.</w:t>
            </w:r>
          </w:p>
        </w:tc>
        <w:tc>
          <w:tcPr>
            <w:tcW w:type="dxa" w:w="2920"/>
          </w:tcPr>
          <w:p>
            <w:pPr>
              <w:spacing w:after="0"/>
              <w:jc w:val="left"/>
            </w:pPr>
            <w:r/>
            <w:r>
              <w:rPr>
                <w:rFonts w:ascii="Calibri" w:hAnsi="Calibri"/>
                <w:b w:val="0"/>
                <w:color w:val="1A1A1A"/>
                <w:sz w:val="24"/>
              </w:rPr>
              <w:t>Exige apoio técnico especializado.</w:t>
            </w:r>
          </w:p>
        </w:tc>
        <w:tc>
          <w:tcPr>
            <w:tcW w:type="dxa" w:w="2782"/>
          </w:tcPr>
          <w:p>
            <w:pPr>
              <w:spacing w:after="0"/>
              <w:jc w:val="left"/>
            </w:pPr>
            <w:r/>
            <w:r>
              <w:rPr>
                <w:rFonts w:ascii="Calibri" w:hAnsi="Calibri"/>
                <w:b w:val="0"/>
                <w:color w:val="1A1A1A"/>
                <w:sz w:val="24"/>
              </w:rPr>
              <w:t>Trabalho específico com apoio de engenharia clínica.</w:t>
            </w:r>
          </w:p>
        </w:tc>
      </w:tr>
      <w:tr>
        <w:trPr>
          <w:cantSplit/>
        </w:trPr>
        <w:tc>
          <w:tcPr>
            <w:tcW w:type="dxa" w:w="3370"/>
            <w:shd w:val="clear" w:color="auto" w:fill="F2F5F8"/>
          </w:tcPr>
          <w:p>
            <w:pPr>
              <w:spacing w:after="0"/>
              <w:jc w:val="left"/>
            </w:pPr>
            <w:r/>
            <w:r>
              <w:rPr>
                <w:rFonts w:ascii="Calibri" w:hAnsi="Calibri"/>
                <w:b w:val="0"/>
                <w:color w:val="1A1A1A"/>
                <w:sz w:val="24"/>
              </w:rPr>
              <w:t>Conteúdo integral das Resoluções CFO nº 283, 284 e 285 de 2026.</w:t>
            </w:r>
          </w:p>
        </w:tc>
        <w:tc>
          <w:tcPr>
            <w:tcW w:type="dxa" w:w="2920"/>
            <w:shd w:val="clear" w:color="auto" w:fill="F2F5F8"/>
          </w:tcPr>
          <w:p>
            <w:pPr>
              <w:spacing w:after="0"/>
              <w:jc w:val="left"/>
            </w:pPr>
            <w:r/>
            <w:r>
              <w:rPr>
                <w:rFonts w:ascii="Calibri" w:hAnsi="Calibri"/>
                <w:b w:val="0"/>
                <w:color w:val="1A1A1A"/>
                <w:sz w:val="24"/>
              </w:rPr>
              <w:t>Não verificado integralmente.</w:t>
            </w:r>
          </w:p>
        </w:tc>
        <w:tc>
          <w:tcPr>
            <w:tcW w:type="dxa" w:w="2782"/>
            <w:shd w:val="clear" w:color="auto" w:fill="F2F5F8"/>
          </w:tcPr>
          <w:p>
            <w:pPr>
              <w:spacing w:after="0"/>
              <w:jc w:val="left"/>
            </w:pPr>
            <w:r/>
            <w:r>
              <w:rPr>
                <w:rFonts w:ascii="Calibri" w:hAnsi="Calibri"/>
                <w:b w:val="0"/>
                <w:color w:val="1A1A1A"/>
                <w:sz w:val="24"/>
              </w:rPr>
              <w:t>Consulta direta ao sistema de atos do CFO, com registro de data.</w:t>
            </w:r>
          </w:p>
        </w:tc>
      </w:tr>
      <w:tr>
        <w:trPr>
          <w:cantSplit/>
        </w:trPr>
        <w:tc>
          <w:tcPr>
            <w:tcW w:type="dxa" w:w="3370"/>
          </w:tcPr>
          <w:p>
            <w:pPr>
              <w:spacing w:after="0"/>
              <w:jc w:val="left"/>
            </w:pPr>
            <w:r/>
            <w:r>
              <w:rPr>
                <w:rFonts w:ascii="Calibri" w:hAnsi="Calibri"/>
                <w:b w:val="0"/>
                <w:color w:val="1A1A1A"/>
                <w:sz w:val="24"/>
              </w:rPr>
              <w:t>Fonte das condutas prescritivas herdadas da contribuição interna.</w:t>
            </w:r>
          </w:p>
        </w:tc>
        <w:tc>
          <w:tcPr>
            <w:tcW w:type="dxa" w:w="2920"/>
          </w:tcPr>
          <w:p>
            <w:pPr>
              <w:spacing w:after="0"/>
              <w:jc w:val="left"/>
            </w:pPr>
            <w:r/>
            <w:r>
              <w:rPr>
                <w:rFonts w:ascii="Calibri" w:hAnsi="Calibri"/>
                <w:b w:val="0"/>
                <w:color w:val="1A1A1A"/>
                <w:sz w:val="24"/>
              </w:rPr>
              <w:t>Afirmação sem fonte declarada.</w:t>
            </w:r>
          </w:p>
        </w:tc>
        <w:tc>
          <w:tcPr>
            <w:tcW w:type="dxa" w:w="2782"/>
          </w:tcPr>
          <w:p>
            <w:pPr>
              <w:spacing w:after="0"/>
              <w:jc w:val="left"/>
            </w:pPr>
            <w:r/>
            <w:r>
              <w:rPr>
                <w:rFonts w:ascii="Calibri" w:hAnsi="Calibri"/>
                <w:b w:val="0"/>
                <w:color w:val="1A1A1A"/>
                <w:sz w:val="24"/>
              </w:rPr>
              <w:t>Indicação das fontes pela autora e deliberação do colegiado, conforme registrado no documento 12.</w:t>
            </w:r>
          </w:p>
        </w:tc>
      </w:tr>
      <w:tr>
        <w:trPr>
          <w:cantSplit/>
        </w:trPr>
        <w:tc>
          <w:tcPr>
            <w:tcW w:type="dxa" w:w="3370"/>
            <w:shd w:val="clear" w:color="auto" w:fill="F2F5F8"/>
          </w:tcPr>
          <w:p>
            <w:pPr>
              <w:spacing w:after="0"/>
              <w:jc w:val="left"/>
            </w:pPr>
            <w:r/>
            <w:r>
              <w:rPr>
                <w:rFonts w:ascii="Calibri" w:hAnsi="Calibri"/>
                <w:b w:val="0"/>
                <w:color w:val="1A1A1A"/>
                <w:sz w:val="24"/>
              </w:rPr>
              <w:t>Definição institucional de escopo para procedimentos apoiados por imagem.</w:t>
            </w:r>
          </w:p>
        </w:tc>
        <w:tc>
          <w:tcPr>
            <w:tcW w:type="dxa" w:w="2920"/>
            <w:shd w:val="clear" w:color="auto" w:fill="F2F5F8"/>
          </w:tcPr>
          <w:p>
            <w:pPr>
              <w:spacing w:after="0"/>
              <w:jc w:val="left"/>
            </w:pPr>
            <w:r/>
            <w:r>
              <w:rPr>
                <w:rFonts w:ascii="Calibri" w:hAnsi="Calibri"/>
                <w:b w:val="0"/>
                <w:color w:val="1A1A1A"/>
                <w:sz w:val="24"/>
              </w:rPr>
              <w:t>Matéria sob discussão judicial.</w:t>
            </w:r>
          </w:p>
        </w:tc>
        <w:tc>
          <w:tcPr>
            <w:tcW w:type="dxa" w:w="2782"/>
            <w:shd w:val="clear" w:color="auto" w:fill="F2F5F8"/>
          </w:tcPr>
          <w:p>
            <w:pPr>
              <w:spacing w:after="0"/>
              <w:jc w:val="left"/>
            </w:pPr>
            <w:r/>
            <w:r>
              <w:rPr>
                <w:rFonts w:ascii="Calibri" w:hAnsi="Calibri"/>
                <w:b w:val="0"/>
                <w:color w:val="1A1A1A"/>
                <w:sz w:val="24"/>
              </w:rPr>
              <w:t>Manifestação institucional após o desfecho processual.</w:t>
            </w:r>
          </w:p>
        </w:tc>
      </w:tr>
      <w:tr>
        <w:trPr>
          <w:cantSplit/>
        </w:trPr>
        <w:tc>
          <w:tcPr>
            <w:tcW w:type="dxa" w:w="3370"/>
          </w:tcPr>
          <w:p>
            <w:pPr>
              <w:spacing w:after="0"/>
              <w:jc w:val="left"/>
            </w:pPr>
            <w:r/>
            <w:r>
              <w:rPr>
                <w:rFonts w:ascii="Calibri" w:hAnsi="Calibri"/>
                <w:b w:val="0"/>
                <w:color w:val="1A1A1A"/>
                <w:sz w:val="24"/>
              </w:rPr>
              <w:t>Atas das reuniões já realizadas no ciclo.</w:t>
            </w:r>
          </w:p>
        </w:tc>
        <w:tc>
          <w:tcPr>
            <w:tcW w:type="dxa" w:w="2920"/>
          </w:tcPr>
          <w:p>
            <w:pPr>
              <w:spacing w:after="0"/>
              <w:jc w:val="left"/>
            </w:pPr>
            <w:r/>
            <w:r>
              <w:rPr>
                <w:rFonts w:ascii="Calibri" w:hAnsi="Calibri"/>
                <w:b w:val="0"/>
                <w:color w:val="1A1A1A"/>
                <w:sz w:val="24"/>
              </w:rPr>
              <w:t>Registro que não se produz retroativamente.</w:t>
            </w:r>
          </w:p>
        </w:tc>
        <w:tc>
          <w:tcPr>
            <w:tcW w:type="dxa" w:w="2782"/>
          </w:tcPr>
          <w:p>
            <w:pPr>
              <w:spacing w:after="0"/>
              <w:jc w:val="left"/>
            </w:pPr>
            <w:r/>
            <w:r>
              <w:rPr>
                <w:rFonts w:ascii="Calibri" w:hAnsi="Calibri"/>
                <w:b w:val="0"/>
                <w:color w:val="1A1A1A"/>
                <w:sz w:val="24"/>
              </w:rPr>
              <w:t>Lavratura imediata no modelo do documento 24. É a única meta que não se recupera em dezembro.</w:t>
            </w:r>
          </w:p>
        </w:tc>
      </w:tr>
      <w:tr>
        <w:trPr>
          <w:cantSplit/>
        </w:trPr>
        <w:tc>
          <w:tcPr>
            <w:tcW w:type="dxa" w:w="3370"/>
            <w:shd w:val="clear" w:color="auto" w:fill="F2F5F8"/>
          </w:tcPr>
          <w:p>
            <w:pPr>
              <w:spacing w:after="0"/>
              <w:jc w:val="left"/>
            </w:pPr>
            <w:r/>
            <w:r>
              <w:rPr>
                <w:rFonts w:ascii="Calibri" w:hAnsi="Calibri"/>
                <w:b w:val="0"/>
                <w:color w:val="1A1A1A"/>
                <w:sz w:val="24"/>
              </w:rPr>
              <w:t>Número de dimensões do indicador da Meta M9.</w:t>
            </w:r>
          </w:p>
        </w:tc>
        <w:tc>
          <w:tcPr>
            <w:tcW w:type="dxa" w:w="2920"/>
            <w:shd w:val="clear" w:color="auto" w:fill="F2F5F8"/>
          </w:tcPr>
          <w:p>
            <w:pPr>
              <w:spacing w:after="0"/>
              <w:jc w:val="left"/>
            </w:pPr>
            <w:r/>
            <w:r>
              <w:rPr>
                <w:rFonts w:ascii="Calibri" w:hAnsi="Calibri"/>
                <w:b w:val="0"/>
                <w:color w:val="1A1A1A"/>
                <w:sz w:val="24"/>
              </w:rPr>
              <w:t>Divergência entre indicador aprovado e entrega.</w:t>
            </w:r>
          </w:p>
        </w:tc>
        <w:tc>
          <w:tcPr>
            <w:tcW w:type="dxa" w:w="2782"/>
            <w:shd w:val="clear" w:color="auto" w:fill="F2F5F8"/>
          </w:tcPr>
          <w:p>
            <w:pPr>
              <w:spacing w:after="0"/>
              <w:jc w:val="left"/>
            </w:pPr>
            <w:r/>
            <w:r>
              <w:rPr>
                <w:rFonts w:ascii="Calibri" w:hAnsi="Calibri"/>
                <w:b w:val="0"/>
                <w:color w:val="1A1A1A"/>
                <w:sz w:val="24"/>
              </w:rPr>
              <w:t>Deliberação do colegiado atualizando o indicador de seis para oito dimensões.</w:t>
            </w:r>
          </w:p>
        </w:tc>
      </w:tr>
      <w:tr>
        <w:trPr>
          <w:cantSplit/>
        </w:trPr>
        <w:tc>
          <w:tcPr>
            <w:tcW w:type="dxa" w:w="3370"/>
          </w:tcPr>
          <w:p>
            <w:pPr>
              <w:spacing w:after="0"/>
              <w:jc w:val="left"/>
            </w:pPr>
            <w:r/>
            <w:r>
              <w:rPr>
                <w:rFonts w:ascii="Calibri" w:hAnsi="Calibri"/>
                <w:b w:val="0"/>
                <w:color w:val="1A1A1A"/>
                <w:sz w:val="24"/>
              </w:rPr>
              <w:t>Execução das duas simulações previstas.</w:t>
            </w:r>
          </w:p>
        </w:tc>
        <w:tc>
          <w:tcPr>
            <w:tcW w:type="dxa" w:w="2920"/>
          </w:tcPr>
          <w:p>
            <w:pPr>
              <w:spacing w:after="0"/>
              <w:jc w:val="left"/>
            </w:pPr>
            <w:r/>
            <w:r>
              <w:rPr>
                <w:rFonts w:ascii="Calibri" w:hAnsi="Calibri"/>
                <w:b w:val="0"/>
                <w:color w:val="1A1A1A"/>
                <w:sz w:val="24"/>
              </w:rPr>
              <w:t>Ato que depende de agenda e de equipe.</w:t>
            </w:r>
          </w:p>
        </w:tc>
        <w:tc>
          <w:tcPr>
            <w:tcW w:type="dxa" w:w="2782"/>
          </w:tcPr>
          <w:p>
            <w:pPr>
              <w:spacing w:after="0"/>
              <w:jc w:val="left"/>
            </w:pPr>
            <w:r/>
            <w:r>
              <w:rPr>
                <w:rFonts w:ascii="Calibri" w:hAnsi="Calibri"/>
                <w:b w:val="0"/>
                <w:color w:val="1A1A1A"/>
                <w:sz w:val="24"/>
              </w:rPr>
              <w:t>Definição de datas em ata e aplicação dos roteiros do documento 29.</w:t>
            </w:r>
          </w:p>
        </w:tc>
      </w:tr>
      <w:tr>
        <w:trPr>
          <w:cantSplit/>
        </w:trPr>
        <w:tc>
          <w:tcPr>
            <w:tcW w:type="dxa" w:w="3370"/>
            <w:shd w:val="clear" w:color="auto" w:fill="F2F5F8"/>
          </w:tcPr>
          <w:p>
            <w:pPr>
              <w:spacing w:after="0"/>
              <w:jc w:val="left"/>
            </w:pPr>
            <w:r/>
            <w:r>
              <w:rPr>
                <w:rFonts w:ascii="Calibri" w:hAnsi="Calibri"/>
                <w:b w:val="0"/>
                <w:color w:val="1A1A1A"/>
                <w:sz w:val="24"/>
              </w:rPr>
              <w:t>Realização do Fórum de Tecnologias Emergentes.</w:t>
            </w:r>
          </w:p>
        </w:tc>
        <w:tc>
          <w:tcPr>
            <w:tcW w:type="dxa" w:w="2920"/>
            <w:shd w:val="clear" w:color="auto" w:fill="F2F5F8"/>
          </w:tcPr>
          <w:p>
            <w:pPr>
              <w:spacing w:after="0"/>
              <w:jc w:val="left"/>
            </w:pPr>
            <w:r/>
            <w:r>
              <w:rPr>
                <w:rFonts w:ascii="Calibri" w:hAnsi="Calibri"/>
                <w:b w:val="0"/>
                <w:color w:val="1A1A1A"/>
                <w:sz w:val="24"/>
              </w:rPr>
              <w:t>Ato institucional.</w:t>
            </w:r>
          </w:p>
        </w:tc>
        <w:tc>
          <w:tcPr>
            <w:tcW w:type="dxa" w:w="2782"/>
            <w:shd w:val="clear" w:color="auto" w:fill="F2F5F8"/>
          </w:tcPr>
          <w:p>
            <w:pPr>
              <w:spacing w:after="0"/>
              <w:jc w:val="left"/>
            </w:pPr>
            <w:r/>
            <w:r>
              <w:rPr>
                <w:rFonts w:ascii="Calibri" w:hAnsi="Calibri"/>
                <w:b w:val="0"/>
                <w:color w:val="1A1A1A"/>
                <w:sz w:val="24"/>
              </w:rPr>
              <w:t>Deliberação sobre data, formato e apoio, conforme o documento 26.</w:t>
            </w:r>
          </w:p>
        </w:tc>
      </w:tr>
      <w:tr>
        <w:trPr>
          <w:cantSplit/>
        </w:trPr>
        <w:tc>
          <w:tcPr>
            <w:tcW w:type="dxa" w:w="3370"/>
          </w:tcPr>
          <w:p>
            <w:pPr>
              <w:spacing w:after="0"/>
              <w:jc w:val="left"/>
            </w:pPr>
            <w:r/>
            <w:r>
              <w:rPr>
                <w:rFonts w:ascii="Calibri" w:hAnsi="Calibri"/>
                <w:b w:val="0"/>
                <w:color w:val="1A1A1A"/>
                <w:sz w:val="24"/>
              </w:rPr>
              <w:t>Reexportação de sete cards do carrossel institucional.</w:t>
            </w:r>
          </w:p>
        </w:tc>
        <w:tc>
          <w:tcPr>
            <w:tcW w:type="dxa" w:w="2920"/>
          </w:tcPr>
          <w:p>
            <w:pPr>
              <w:spacing w:after="0"/>
              <w:jc w:val="left"/>
            </w:pPr>
            <w:r/>
            <w:r>
              <w:rPr>
                <w:rFonts w:ascii="Calibri" w:hAnsi="Calibri"/>
                <w:b w:val="0"/>
                <w:color w:val="1A1A1A"/>
                <w:sz w:val="24"/>
              </w:rPr>
              <w:t>Defeito de exportação, não de conteúdo.</w:t>
            </w:r>
          </w:p>
        </w:tc>
        <w:tc>
          <w:tcPr>
            <w:tcW w:type="dxa" w:w="2782"/>
          </w:tcPr>
          <w:p>
            <w:pPr>
              <w:spacing w:after="0"/>
              <w:jc w:val="left"/>
            </w:pPr>
            <w:r/>
            <w:r>
              <w:rPr>
                <w:rFonts w:ascii="Calibri" w:hAnsi="Calibri"/>
                <w:b w:val="0"/>
                <w:color w:val="1A1A1A"/>
                <w:sz w:val="24"/>
              </w:rPr>
              <w:t>Reexportação individual conforme a especificação do documento 31.</w:t>
            </w:r>
          </w:p>
        </w:tc>
      </w:tr>
    </w:tbl>
    <w:p>
      <w:pPr>
        <w:keepNext/>
        <w:spacing w:before="360" w:after="160"/>
        <w:jc w:val="left"/>
        <w:pBdr>
          <w:bottom w:val="single" w:sz="8" w:space="4" w:color="143C64"/>
        </w:pBdr>
      </w:pPr>
      <w:r>
        <w:rPr>
          <w:rFonts w:ascii="Calibri" w:hAnsi="Calibri"/>
          <w:b/>
          <w:color w:val="143C64"/>
          <w:sz w:val="30"/>
        </w:rPr>
        <w:t>7  Próximos atos institucionais</w:t>
      </w:r>
    </w:p>
    <w:p>
      <w:pPr>
        <w:pStyle w:val="ListNumber"/>
        <w:spacing w:after="60"/>
        <w:ind w:left="397"/>
        <w:jc w:val="both"/>
      </w:pPr>
      <w:r>
        <w:rPr>
          <w:rFonts w:ascii="Calibri" w:hAnsi="Calibri"/>
          <w:color w:val="1A1A1A"/>
          <w:sz w:val="24"/>
        </w:rPr>
        <w:t>Submeter os documentos 05 e 06 à deliberação do colegiado, com registro em ata.</w:t>
      </w:r>
    </w:p>
    <w:p>
      <w:pPr>
        <w:pStyle w:val="ListNumber"/>
        <w:spacing w:after="60"/>
        <w:ind w:left="397"/>
        <w:jc w:val="both"/>
      </w:pPr>
      <w:r>
        <w:rPr>
          <w:rFonts w:ascii="Calibri" w:hAnsi="Calibri"/>
          <w:color w:val="1A1A1A"/>
          <w:sz w:val="24"/>
        </w:rPr>
        <w:t>Encaminhar as minutas do documento 03 à Diretoria Executiva para decisão sobre protocolo.</w:t>
      </w:r>
    </w:p>
    <w:p>
      <w:pPr>
        <w:pStyle w:val="ListNumber"/>
        <w:spacing w:after="60"/>
        <w:ind w:left="397"/>
        <w:jc w:val="both"/>
      </w:pPr>
      <w:r>
        <w:rPr>
          <w:rFonts w:ascii="Calibri" w:hAnsi="Calibri"/>
          <w:color w:val="1A1A1A"/>
          <w:sz w:val="24"/>
        </w:rPr>
        <w:t>Iniciar a execução do protocolo do documento 04, registrando data e responsável por bloco.</w:t>
      </w:r>
    </w:p>
    <w:p>
      <w:pPr>
        <w:pStyle w:val="ListNumber"/>
        <w:spacing w:after="60"/>
        <w:ind w:left="397"/>
        <w:jc w:val="both"/>
      </w:pPr>
      <w:r>
        <w:rPr>
          <w:rFonts w:ascii="Calibri" w:hAnsi="Calibri"/>
          <w:color w:val="1A1A1A"/>
          <w:sz w:val="24"/>
        </w:rPr>
        <w:t>Submeter os documentos 07, 08, 09, 10 e 11 à revisão por par dentro do Núcleo.</w:t>
      </w:r>
    </w:p>
    <w:p>
      <w:pPr>
        <w:pStyle w:val="ListNumber"/>
        <w:spacing w:after="60"/>
        <w:ind w:left="397"/>
        <w:jc w:val="both"/>
      </w:pPr>
      <w:r>
        <w:rPr>
          <w:rFonts w:ascii="Calibri" w:hAnsi="Calibri"/>
          <w:color w:val="1A1A1A"/>
          <w:sz w:val="24"/>
        </w:rPr>
        <w:t>Encaminhar os modelos de termo à assessoria jurídica antes de qualquer circulação.</w:t>
      </w:r>
    </w:p>
    <w:p>
      <w:pPr>
        <w:pStyle w:val="ListNumber"/>
        <w:spacing w:after="60"/>
        <w:ind w:left="397"/>
        <w:jc w:val="both"/>
      </w:pPr>
      <w:r>
        <w:rPr>
          <w:rFonts w:ascii="Calibri" w:hAnsi="Calibri"/>
          <w:color w:val="1A1A1A"/>
          <w:sz w:val="24"/>
        </w:rPr>
        <w:t>Consolidar a versão de submissão à Diretoria Executiva conforme a meta M10.</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circulação</w:t>
            </w:r>
          </w:p>
          <w:p>
            <w:pPr>
              <w:spacing w:after="0"/>
              <w:jc w:val="both"/>
            </w:pPr>
            <w:r>
              <w:rPr>
                <w:rFonts w:ascii="Calibri" w:hAnsi="Calibri"/>
                <w:color w:val="1A1A1A"/>
                <w:sz w:val="24"/>
              </w:rPr>
              <w:t>Os arquivos deste pacote não devem ser tratados como versões finais nem como posições oficiais do CRO-MG antes da aprovação competente. A rotulagem de cada documento declara a situação em que se encontra, e essa rotulagem deve ser preservada em qualquer cópia.</w:t>
            </w:r>
          </w:p>
        </w:tc>
      </w:tr>
    </w:tbl>
    <w:p>
      <w:pPr>
        <w:spacing w:after="80"/>
      </w:pPr>
    </w:p>
    <w:p>
      <w:pPr>
        <w:keepNext/>
        <w:spacing w:before="360" w:after="160"/>
        <w:jc w:val="left"/>
        <w:pBdr>
          <w:bottom w:val="single" w:sz="8" w:space="4" w:color="143C64"/>
        </w:pBdr>
      </w:pPr>
      <w:r>
        <w:rPr>
          <w:rFonts w:ascii="Calibri" w:hAnsi="Calibri"/>
          <w:b/>
          <w:color w:val="143C64"/>
          <w:sz w:val="30"/>
        </w:rPr>
        <w:t>Governança e limites institucionais</w:t>
      </w:r>
    </w:p>
    <w:p>
      <w:pPr>
        <w:spacing w:after="120"/>
        <w:jc w:val="both"/>
      </w:pPr>
      <w:r>
        <w:rPr>
          <w:rFonts w:ascii="Calibri" w:hAnsi="Calibri"/>
          <w:b w:val="0"/>
          <w:i w:val="0"/>
          <w:color w:val="1A1A1A"/>
          <w:sz w:val="24"/>
        </w:rPr>
        <w:t>O Núcleo 5 atua em caráter técnico-científico e consultivo. Seus produtos organizam evidências, critérios, fluxos e instrumentos de segurança, mas não substituem atos normativos, fiscalização, julgamento ético, decisão clínica individual ou competências da Diretoria Executiva e do Plenário do CRO-MG.</w:t>
      </w:r>
    </w:p>
    <w:p>
      <w:pPr>
        <w:pStyle w:val="ListBullet"/>
        <w:spacing w:after="60"/>
        <w:ind w:left="397"/>
        <w:jc w:val="both"/>
      </w:pPr>
      <w:r>
        <w:rPr>
          <w:rFonts w:ascii="Calibri" w:hAnsi="Calibri"/>
          <w:color w:val="1A1A1A"/>
          <w:sz w:val="24"/>
        </w:rPr>
        <w:t>Não apresentar opinião individual como posição oficial do CRO-MG.</w:t>
      </w:r>
    </w:p>
    <w:p>
      <w:pPr>
        <w:pStyle w:val="ListBullet"/>
        <w:spacing w:after="60"/>
        <w:ind w:left="397"/>
        <w:jc w:val="both"/>
      </w:pPr>
      <w:r>
        <w:rPr>
          <w:rFonts w:ascii="Calibri" w:hAnsi="Calibri"/>
          <w:color w:val="1A1A1A"/>
          <w:sz w:val="24"/>
        </w:rPr>
        <w:t>Não promover marcas, fabricantes, empresas ou interesses comerciais.</w:t>
      </w:r>
    </w:p>
    <w:p>
      <w:pPr>
        <w:pStyle w:val="ListBullet"/>
        <w:spacing w:after="60"/>
        <w:ind w:left="397"/>
        <w:jc w:val="both"/>
      </w:pPr>
      <w:r>
        <w:rPr>
          <w:rFonts w:ascii="Calibri" w:hAnsi="Calibri"/>
          <w:color w:val="1A1A1A"/>
          <w:sz w:val="24"/>
        </w:rPr>
        <w:t>Declarar conflitos de interesse antes de qualquer avaliação tecnológica.</w:t>
      </w:r>
    </w:p>
    <w:p>
      <w:pPr>
        <w:pStyle w:val="ListBullet"/>
        <w:spacing w:after="60"/>
        <w:ind w:left="397"/>
        <w:jc w:val="both"/>
      </w:pPr>
      <w:r>
        <w:rPr>
          <w:rFonts w:ascii="Calibri" w:hAnsi="Calibri"/>
          <w:color w:val="1A1A1A"/>
          <w:sz w:val="24"/>
        </w:rPr>
        <w:t>Distinguir norma vigente, evidência científica, recomendação técnica e proposta pendente de deliberação.</w:t>
      </w:r>
    </w:p>
    <w:p>
      <w:pPr>
        <w:pStyle w:val="ListBullet"/>
        <w:spacing w:after="60"/>
        <w:ind w:left="397"/>
        <w:jc w:val="both"/>
      </w:pPr>
      <w:r>
        <w:rPr>
          <w:rFonts w:ascii="Calibri" w:hAnsi="Calibri"/>
          <w:color w:val="1A1A1A"/>
          <w:sz w:val="24"/>
        </w:rPr>
        <w:t>Não divulgar externamente documentos antes do fluxo institucional de revisão e aprovação.</w:t>
      </w:r>
    </w:p>
    <w:p>
      <w:pPr>
        <w:pStyle w:val="ListBullet"/>
        <w:spacing w:after="60"/>
        <w:ind w:left="397"/>
        <w:jc w:val="both"/>
      </w:pPr>
      <w:r>
        <w:rPr>
          <w:rFonts w:ascii="Calibri" w:hAnsi="Calibri"/>
          <w:color w:val="1A1A1A"/>
          <w:sz w:val="24"/>
        </w:rPr>
        <w:t>Não compartilhar dados identificáveis de pacientes ou de profissionais sem finalidade, base legal e governança adequadas.</w:t>
      </w:r>
    </w:p>
    <w:tbl>
      <w:tblPr>
        <w:tblW w:type="auto" w:w="0"/>
        <w:jc w:val="center"/>
        <w:tblLook w:firstColumn="1" w:firstRow="1" w:lastColumn="0" w:lastRow="0" w:noHBand="0" w:noVBand="1" w:val="04A0"/>
        <w:tblCellMar>
          <w:top w:w="120" w:type="dxa"/>
          <w:left w:w="160" w:type="dxa"/>
          <w:bottom w:w="120" w:type="dxa"/>
          <w:right w:w="160" w:type="dxa"/>
        </w:tblCellMar>
        <w:tblBorders>
          <w:top w:val="single" w:sz="4" w:space="0" w:color="EAF0F6"/>
          <w:bottom w:val="single" w:sz="4" w:space="0" w:color="EAF0F6"/>
          <w:right w:val="single" w:sz="4" w:space="0" w:color="EAF0F6"/>
          <w:insideH w:val="single" w:sz="4" w:space="0" w:color="EAF0F6"/>
          <w:insideV w:val="single" w:sz="4" w:space="0" w:color="EAF0F6"/>
          <w:left w:val="single" w:sz="24" w:space="0" w:color="143C64"/>
        </w:tblBorders>
        <w:tblLayout w:type="fixed"/>
      </w:tblPr>
      <w:tblGrid>
        <w:gridCol w:w="9072"/>
      </w:tblGrid>
      <w:tr>
        <w:tc>
          <w:tcPr>
            <w:tcW w:type="dxa" w:w="9072"/>
            <w:shd w:val="clear" w:color="auto" w:fill="EAF0F6"/>
          </w:tcPr>
          <w:p>
            <w:pPr>
              <w:spacing w:after="60"/>
              <w:jc w:val="left"/>
            </w:pPr>
            <w:r/>
            <w:r>
              <w:rPr>
                <w:rFonts w:ascii="Calibri" w:hAnsi="Calibri"/>
                <w:b/>
                <w:color w:val="143C64"/>
                <w:sz w:val="24"/>
              </w:rPr>
              <w:t>Condição de uso</w:t>
            </w:r>
          </w:p>
          <w:p>
            <w:pPr>
              <w:spacing w:after="0"/>
              <w:jc w:val="both"/>
            </w:pPr>
            <w:r>
              <w:rPr>
                <w:rFonts w:ascii="Calibri" w:hAnsi="Calibri"/>
                <w:color w:val="1A1A1A"/>
                <w:sz w:val="24"/>
              </w:rPr>
              <w:t>Este documento é instrumento de trabalho do Núcleo 5. Não constitui norma, parecer vinculante, autorização de tecnologia, aval de produto comercial nem substituto da avaliação clínica individual. Sua eventual publicação externa depende de validação da Diretoria Executiva do CRO-MG.</w:t>
            </w:r>
          </w:p>
        </w:tc>
      </w:tr>
    </w:tbl>
    <w:p>
      <w:pPr>
        <w:spacing w:after="80"/>
      </w:pPr>
    </w:p>
    <w:sectPr w:rsidR="00FC693F" w:rsidRPr="0006063C" w:rsidSect="00034616">
      <w:headerReference w:type="default" r:id="rId9"/>
      <w:footerReference w:type="default" r:id="rId10"/>
      <w:pgSz w:w="11906" w:h="16838"/>
      <w:pgMar w:top="1417" w:right="1417" w:bottom="1417" w:left="141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rFonts w:ascii="Calibri" w:hAnsi="Calibri"/>
        <w:color w:val="444A52"/>
        <w:sz w:val="18"/>
      </w:rPr>
      <w:t>N5-IND-01 · Índice Mestre e Controle de Entregas · versão 2.0</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r>
      <w:rPr>
        <w:rFonts w:ascii="Calibri" w:hAnsi="Calibri"/>
        <w:color w:val="444A52"/>
        <w:sz w:val="18"/>
      </w:rPr>
      <w:t>Núcleo 5 · CT-HOF · CRO-MG | N5-IND-01</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jc w:val="both"/>
    </w:pPr>
    <w:rPr>
      <w:rFonts w:ascii="Calibri" w:hAnsi="Calibri" w:eastAsia="Calibri"/>
      <w:color w:val="1A1A1A"/>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