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0"/>
      </w:pPr>
    </w:p>
    <w:p>
      <w:pPr>
        <w:spacing w:after="40"/>
        <w:jc w:val="center"/>
      </w:pPr>
      <w:r>
        <w:rPr>
          <w:rFonts w:ascii="Calibri" w:hAnsi="Calibri"/>
          <w:b/>
          <w:i w:val="0"/>
          <w:color w:val="444A52"/>
          <w:sz w:val="24"/>
        </w:rPr>
        <w:t>CONSELHO REGIONAL DE ODONTOLOGIA DE MINAS GERAIS</w:t>
      </w:r>
    </w:p>
    <w:p>
      <w:pPr>
        <w:spacing w:after="40"/>
        <w:jc w:val="center"/>
      </w:pPr>
      <w:r>
        <w:rPr>
          <w:rFonts w:ascii="Calibri" w:hAnsi="Calibri"/>
          <w:b w:val="0"/>
          <w:i w:val="0"/>
          <w:color w:val="444A52"/>
          <w:sz w:val="24"/>
        </w:rPr>
        <w:t>Câmara Técnica de Harmonização Orofacial</w:t>
      </w:r>
    </w:p>
    <w:p>
      <w:pPr>
        <w:spacing w:after="600"/>
        <w:jc w:val="center"/>
      </w:pPr>
      <w:r>
        <w:rPr>
          <w:rFonts w:ascii="Calibri" w:hAnsi="Calibri"/>
          <w:b w:val="0"/>
          <w:i w:val="0"/>
          <w:color w:val="444A52"/>
          <w:sz w:val="24"/>
        </w:rPr>
        <w:t>Núcleo 5 · Inovação, Tecnologias e Segurança Clínica</w:t>
      </w:r>
    </w:p>
    <w:p>
      <w:pPr>
        <w:spacing w:after="200"/>
        <w:jc w:val="center"/>
      </w:pPr>
      <w:r>
        <w:rPr>
          <w:rFonts w:ascii="Calibri" w:hAnsi="Calibri"/>
          <w:b/>
          <w:i w:val="0"/>
          <w:color w:val="8A1C1C"/>
          <w:sz w:val="24"/>
        </w:rPr>
        <w:t>DOCUMENTO-QUADRO DO CICLO 2026</w:t>
      </w:r>
    </w:p>
    <w:p>
      <w:pPr>
        <w:spacing w:after="160"/>
        <w:jc w:val="center"/>
      </w:pPr>
      <w:r>
        <w:rPr>
          <w:rFonts w:ascii="Calibri" w:hAnsi="Calibri"/>
          <w:b/>
          <w:color w:val="143C64"/>
          <w:sz w:val="48"/>
        </w:rPr>
        <w:t>Programa HOF Segura 2026</w:t>
      </w:r>
    </w:p>
    <w:p>
      <w:pPr>
        <w:spacing w:after="720"/>
        <w:jc w:val="center"/>
      </w:pPr>
      <w:r>
        <w:rPr>
          <w:rFonts w:ascii="Calibri" w:hAnsi="Calibri"/>
          <w:b w:val="0"/>
          <w:i w:val="0"/>
          <w:color w:val="444A52"/>
          <w:sz w:val="26"/>
        </w:rPr>
        <w:t>Arquitetura institucional para promoção da segurança clínica e avaliação responsável de tecnologias emergentes em Harmonização Orofacial</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731"/>
        <w:gridCol w:w="5341"/>
      </w:tblGrid>
      <w:tr>
        <w:trPr>
          <w:cantSplit/>
          <w:tblHeader/>
        </w:trPr>
        <w:tc>
          <w:tcPr>
            <w:tcW w:type="dxa" w:w="3731"/>
            <w:shd w:val="clear" w:color="auto" w:fill="143C64"/>
          </w:tcPr>
          <w:p>
            <w:pPr>
              <w:spacing w:after="0"/>
              <w:jc w:val="left"/>
            </w:pPr>
            <w:r/>
            <w:r>
              <w:rPr>
                <w:rFonts w:ascii="Calibri" w:hAnsi="Calibri"/>
                <w:b/>
                <w:color w:val="FFFFFF"/>
                <w:sz w:val="24"/>
              </w:rPr>
              <w:t>Identificação do documento</w:t>
            </w:r>
          </w:p>
        </w:tc>
        <w:tc>
          <w:tcPr>
            <w:tcW w:type="dxa" w:w="5341"/>
            <w:shd w:val="clear" w:color="auto" w:fill="143C64"/>
          </w:tcPr>
          <w:p>
            <w:pPr>
              <w:spacing w:after="0"/>
              <w:jc w:val="left"/>
            </w:pPr>
            <w:r/>
            <w:r>
              <w:rPr>
                <w:rFonts w:ascii="Calibri" w:hAnsi="Calibri"/>
                <w:b/>
                <w:color w:val="FFFFFF"/>
                <w:sz w:val="24"/>
              </w:rPr>
              <w:t>Registro</w:t>
            </w:r>
          </w:p>
        </w:tc>
      </w:tr>
      <w:tr>
        <w:trPr>
          <w:cantSplit/>
        </w:trPr>
        <w:tc>
          <w:tcPr>
            <w:tcW w:type="dxa" w:w="3731"/>
          </w:tcPr>
          <w:p>
            <w:pPr>
              <w:spacing w:after="0"/>
              <w:jc w:val="left"/>
            </w:pPr>
            <w:r/>
            <w:r>
              <w:rPr>
                <w:rFonts w:ascii="Calibri" w:hAnsi="Calibri"/>
                <w:b w:val="0"/>
                <w:color w:val="1A1A1A"/>
                <w:sz w:val="24"/>
              </w:rPr>
              <w:t>Código de controle</w:t>
            </w:r>
          </w:p>
        </w:tc>
        <w:tc>
          <w:tcPr>
            <w:tcW w:type="dxa" w:w="5341"/>
          </w:tcPr>
          <w:p>
            <w:pPr>
              <w:spacing w:after="0"/>
              <w:jc w:val="left"/>
            </w:pPr>
            <w:r/>
            <w:r>
              <w:rPr>
                <w:rFonts w:ascii="Calibri" w:hAnsi="Calibri"/>
                <w:b w:val="0"/>
                <w:color w:val="1A1A1A"/>
                <w:sz w:val="24"/>
              </w:rPr>
              <w:t>N5-PROG-01</w:t>
            </w:r>
          </w:p>
        </w:tc>
      </w:tr>
      <w:tr>
        <w:trPr>
          <w:cantSplit/>
        </w:trPr>
        <w:tc>
          <w:tcPr>
            <w:tcW w:type="dxa" w:w="3731"/>
            <w:shd w:val="clear" w:color="auto" w:fill="F2F5F8"/>
          </w:tcPr>
          <w:p>
            <w:pPr>
              <w:spacing w:after="0"/>
              <w:jc w:val="left"/>
            </w:pPr>
            <w:r/>
            <w:r>
              <w:rPr>
                <w:rFonts w:ascii="Calibri" w:hAnsi="Calibri"/>
                <w:b w:val="0"/>
                <w:color w:val="1A1A1A"/>
                <w:sz w:val="24"/>
              </w:rPr>
              <w:t>Versão</w:t>
            </w:r>
          </w:p>
        </w:tc>
        <w:tc>
          <w:tcPr>
            <w:tcW w:type="dxa" w:w="5341"/>
            <w:shd w:val="clear" w:color="auto" w:fill="F2F5F8"/>
          </w:tcPr>
          <w:p>
            <w:pPr>
              <w:spacing w:after="0"/>
              <w:jc w:val="left"/>
            </w:pPr>
            <w:r/>
            <w:r>
              <w:rPr>
                <w:rFonts w:ascii="Calibri" w:hAnsi="Calibri"/>
                <w:b w:val="0"/>
                <w:color w:val="1A1A1A"/>
                <w:sz w:val="24"/>
              </w:rPr>
              <w:t>2.0</w:t>
            </w:r>
          </w:p>
        </w:tc>
      </w:tr>
      <w:tr>
        <w:trPr>
          <w:cantSplit/>
        </w:trPr>
        <w:tc>
          <w:tcPr>
            <w:tcW w:type="dxa" w:w="3731"/>
          </w:tcPr>
          <w:p>
            <w:pPr>
              <w:spacing w:after="0"/>
              <w:jc w:val="left"/>
            </w:pPr>
            <w:r/>
            <w:r>
              <w:rPr>
                <w:rFonts w:ascii="Calibri" w:hAnsi="Calibri"/>
                <w:b w:val="0"/>
                <w:color w:val="1A1A1A"/>
                <w:sz w:val="24"/>
              </w:rPr>
              <w:t>Data de emissão</w:t>
            </w:r>
          </w:p>
        </w:tc>
        <w:tc>
          <w:tcPr>
            <w:tcW w:type="dxa" w:w="5341"/>
          </w:tcPr>
          <w:p>
            <w:pPr>
              <w:spacing w:after="0"/>
              <w:jc w:val="left"/>
            </w:pPr>
            <w:r/>
            <w:r>
              <w:rPr>
                <w:rFonts w:ascii="Calibri" w:hAnsi="Calibri"/>
                <w:b w:val="0"/>
                <w:color w:val="1A1A1A"/>
                <w:sz w:val="24"/>
              </w:rPr>
              <w:t>25 de agosto de 2026</w:t>
            </w:r>
          </w:p>
        </w:tc>
      </w:tr>
      <w:tr>
        <w:trPr>
          <w:cantSplit/>
        </w:trPr>
        <w:tc>
          <w:tcPr>
            <w:tcW w:type="dxa" w:w="3731"/>
            <w:shd w:val="clear" w:color="auto" w:fill="F2F5F8"/>
          </w:tcPr>
          <w:p>
            <w:pPr>
              <w:spacing w:after="0"/>
              <w:jc w:val="left"/>
            </w:pPr>
            <w:r/>
            <w:r>
              <w:rPr>
                <w:rFonts w:ascii="Calibri" w:hAnsi="Calibri"/>
                <w:b w:val="0"/>
                <w:color w:val="1A1A1A"/>
                <w:sz w:val="24"/>
              </w:rPr>
              <w:t>Situação</w:t>
            </w:r>
          </w:p>
        </w:tc>
        <w:tc>
          <w:tcPr>
            <w:tcW w:type="dxa" w:w="5341"/>
            <w:shd w:val="clear" w:color="auto" w:fill="F2F5F8"/>
          </w:tcPr>
          <w:p>
            <w:pPr>
              <w:spacing w:after="0"/>
              <w:jc w:val="left"/>
            </w:pPr>
            <w:r/>
            <w:r>
              <w:rPr>
                <w:rFonts w:ascii="Calibri" w:hAnsi="Calibri"/>
                <w:b w:val="0"/>
                <w:color w:val="1A1A1A"/>
                <w:sz w:val="24"/>
              </w:rPr>
              <w:t>Consolidado para validação institucional</w:t>
            </w:r>
          </w:p>
        </w:tc>
      </w:tr>
      <w:tr>
        <w:trPr>
          <w:cantSplit/>
        </w:trPr>
        <w:tc>
          <w:tcPr>
            <w:tcW w:type="dxa" w:w="3731"/>
          </w:tcPr>
          <w:p>
            <w:pPr>
              <w:spacing w:after="0"/>
              <w:jc w:val="left"/>
            </w:pPr>
            <w:r/>
            <w:r>
              <w:rPr>
                <w:rFonts w:ascii="Calibri" w:hAnsi="Calibri"/>
                <w:b w:val="0"/>
                <w:color w:val="1A1A1A"/>
                <w:sz w:val="24"/>
              </w:rPr>
              <w:t>Elaboração</w:t>
            </w:r>
          </w:p>
        </w:tc>
        <w:tc>
          <w:tcPr>
            <w:tcW w:type="dxa" w:w="5341"/>
          </w:tcPr>
          <w:p>
            <w:pPr>
              <w:spacing w:after="0"/>
              <w:jc w:val="left"/>
            </w:pPr>
            <w:r/>
            <w:r>
              <w:rPr>
                <w:rFonts w:ascii="Calibri" w:hAnsi="Calibri"/>
                <w:b w:val="0"/>
                <w:color w:val="1A1A1A"/>
                <w:sz w:val="24"/>
              </w:rPr>
              <w:t>Núcleo 5 · Inovação, Tecnologias e Segurança Clínica</w:t>
            </w:r>
          </w:p>
        </w:tc>
      </w:tr>
      <w:tr>
        <w:trPr>
          <w:cantSplit/>
        </w:trPr>
        <w:tc>
          <w:tcPr>
            <w:tcW w:type="dxa" w:w="3731"/>
            <w:shd w:val="clear" w:color="auto" w:fill="F2F5F8"/>
          </w:tcPr>
          <w:p>
            <w:pPr>
              <w:spacing w:after="0"/>
              <w:jc w:val="left"/>
            </w:pPr>
            <w:r/>
            <w:r>
              <w:rPr>
                <w:rFonts w:ascii="Calibri" w:hAnsi="Calibri"/>
                <w:b w:val="0"/>
                <w:color w:val="1A1A1A"/>
                <w:sz w:val="24"/>
              </w:rPr>
              <w:t>Natureza</w:t>
            </w:r>
          </w:p>
        </w:tc>
        <w:tc>
          <w:tcPr>
            <w:tcW w:type="dxa" w:w="5341"/>
            <w:shd w:val="clear" w:color="auto" w:fill="F2F5F8"/>
          </w:tcPr>
          <w:p>
            <w:pPr>
              <w:spacing w:after="0"/>
              <w:jc w:val="left"/>
            </w:pPr>
            <w:r/>
            <w:r>
              <w:rPr>
                <w:rFonts w:ascii="Calibri" w:hAnsi="Calibri"/>
                <w:b w:val="0"/>
                <w:color w:val="1A1A1A"/>
                <w:sz w:val="24"/>
              </w:rPr>
              <w:t>Documento técnico-consultivo, sem caráter normativo ou disciplinar</w:t>
            </w:r>
          </w:p>
        </w:tc>
      </w:tr>
      <w:tr>
        <w:trPr>
          <w:cantSplit/>
        </w:trPr>
        <w:tc>
          <w:tcPr>
            <w:tcW w:type="dxa" w:w="3731"/>
          </w:tcPr>
          <w:p>
            <w:pPr>
              <w:spacing w:after="0"/>
              <w:jc w:val="left"/>
            </w:pPr>
            <w:r/>
            <w:r>
              <w:rPr>
                <w:rFonts w:ascii="Calibri" w:hAnsi="Calibri"/>
                <w:b w:val="0"/>
                <w:color w:val="1A1A1A"/>
                <w:sz w:val="24"/>
              </w:rPr>
              <w:t>Condição de publicação</w:t>
            </w:r>
          </w:p>
        </w:tc>
        <w:tc>
          <w:tcPr>
            <w:tcW w:type="dxa" w:w="5341"/>
          </w:tcPr>
          <w:p>
            <w:pPr>
              <w:spacing w:after="0"/>
              <w:jc w:val="left"/>
            </w:pPr>
            <w:r/>
            <w:r>
              <w:rPr>
                <w:rFonts w:ascii="Calibri" w:hAnsi="Calibri"/>
                <w:b w:val="0"/>
                <w:color w:val="1A1A1A"/>
                <w:sz w:val="24"/>
              </w:rPr>
              <w:t>Sujeito a validação pela Diretoria Executiva do CRO-MG</w:t>
            </w:r>
          </w:p>
        </w:tc>
      </w:tr>
    </w:tbl>
    <w:p>
      <w:pPr>
        <w:spacing w:after="480"/>
      </w:pPr>
    </w:p>
    <w:p>
      <w:pPr>
        <w:spacing w:after="120"/>
        <w:jc w:val="center"/>
      </w:pPr>
      <w:r>
        <w:rPr>
          <w:rFonts w:ascii="Calibri" w:hAnsi="Calibri"/>
          <w:b w:val="0"/>
          <w:i/>
          <w:color w:val="444A52"/>
          <w:sz w:val="24"/>
        </w:rPr>
        <w:t>Documento de circulação interna do Núcleo 5. Não constitui norma, parecer vinculante ou orientação oficial do CRO-MG enquanto não houver deliberação do colegiado e validação da Diretoria Executiva.</w:t>
      </w:r>
    </w:p>
    <w:p>
      <w:r>
        <w:br w:type="page"/>
      </w:r>
    </w:p>
    <w:p>
      <w:pPr>
        <w:keepNext/>
        <w:spacing w:before="360" w:after="160"/>
        <w:jc w:val="left"/>
        <w:pBdr>
          <w:bottom w:val="single" w:sz="8" w:space="4" w:color="143C64"/>
        </w:pBdr>
      </w:pPr>
      <w:r>
        <w:rPr>
          <w:rFonts w:ascii="Calibri" w:hAnsi="Calibri"/>
          <w:b/>
          <w:color w:val="143C64"/>
          <w:sz w:val="30"/>
        </w:rPr>
        <w:t>1  Natureza, finalidade e condição deste documento</w:t>
      </w:r>
    </w:p>
    <w:p>
      <w:pPr>
        <w:spacing w:after="120"/>
        <w:jc w:val="both"/>
      </w:pPr>
      <w:r>
        <w:rPr>
          <w:rFonts w:ascii="Calibri" w:hAnsi="Calibri"/>
          <w:b w:val="0"/>
          <w:i w:val="0"/>
          <w:color w:val="1A1A1A"/>
          <w:sz w:val="24"/>
        </w:rPr>
        <w:t>O Programa HOF Segura 2026 é o documento-quadro do Núcleo 5. Ele não repete o conteúdo dos demais produtos: estabelece a lógica que os une, define os critérios comuns de elaboração e revisão, e fixa o encadeamento entre segurança clínica e avaliação tecnológica. Os demais documentos do pacote são executáveis; este é o que explica por que eles existem e como se articulam.</w:t>
      </w:r>
    </w:p>
    <w:p>
      <w:pPr>
        <w:spacing w:after="120"/>
        <w:jc w:val="both"/>
      </w:pPr>
      <w:r>
        <w:rPr>
          <w:rFonts w:ascii="Calibri" w:hAnsi="Calibri"/>
          <w:b w:val="0"/>
          <w:i w:val="0"/>
          <w:color w:val="1A1A1A"/>
          <w:sz w:val="24"/>
        </w:rPr>
        <w:t>A versão 2.0 consolida o pacote produzido no ciclo, incorpora a verificação individual das referências científicas realizada em 25 de agosto de 2026, harmoniza a matriz de avaliação tecnológica em oito dimensões e registra a situação contenciosa da camada de exercício profissional.</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FBF0E6"/>
          <w:bottom w:val="single" w:sz="4" w:space="0" w:color="FBF0E6"/>
          <w:right w:val="single" w:sz="4" w:space="0" w:color="FBF0E6"/>
          <w:insideH w:val="single" w:sz="4" w:space="0" w:color="FBF0E6"/>
          <w:insideV w:val="single" w:sz="4" w:space="0" w:color="FBF0E6"/>
          <w:left w:val="single" w:sz="24" w:space="0" w:color="A05A2C"/>
        </w:tblBorders>
        <w:tblLayout w:type="fixed"/>
      </w:tblPr>
      <w:tblGrid>
        <w:gridCol w:w="9072"/>
      </w:tblGrid>
      <w:tr>
        <w:tc>
          <w:tcPr>
            <w:tcW w:type="dxa" w:w="9072"/>
            <w:shd w:val="clear" w:color="auto" w:fill="FBF0E6"/>
          </w:tcPr>
          <w:p>
            <w:pPr>
              <w:spacing w:after="60"/>
              <w:jc w:val="left"/>
            </w:pPr>
            <w:r/>
            <w:r>
              <w:rPr>
                <w:rFonts w:ascii="Calibri" w:hAnsi="Calibri"/>
                <w:b/>
                <w:color w:val="143C64"/>
                <w:sz w:val="24"/>
              </w:rPr>
              <w:t>Registro de situação contenciosa, verificado em 25 de agosto de 2026</w:t>
            </w:r>
          </w:p>
          <w:p>
            <w:pPr>
              <w:spacing w:after="0"/>
              <w:jc w:val="both"/>
            </w:pPr>
            <w:r>
              <w:rPr>
                <w:rFonts w:ascii="Calibri" w:hAnsi="Calibri"/>
                <w:color w:val="1A1A1A"/>
                <w:sz w:val="24"/>
              </w:rPr>
              <w:t>Em 19 de agosto de 2026, a 8ª Turma do Tribunal Regional Federal da 1ª Região decidiu, por três votos a dois, pela anulação da Resolução CFO nº 198/2019, no processo nº 1003948-83.2019.4.01.3400. Segundo as fontes consultadas, ainda cabe recurso e a medida produz efeito a partir da publicação do acórdão. O Conselho Federal de Odontologia manifestou discordância e informou que adotará as medidas judiciais cabíveis, registrando que, naquele momento, não havia mudança nas atribuições dos cirurgiões-dentistas. Este pacote não depende dessa resolução: sua fundamentação é sanitária, apoiada na RDC Anvisa nº 1.002/2025 e nos demais atos listados no mapa normativo. O fato é registrado por dever de atualidade, e não como posição do Núcleo sobre o mérito da decisão judicial, matéria estranha à sua competência técnica.</w:t>
            </w:r>
          </w:p>
        </w:tc>
      </w:tr>
    </w:tbl>
    <w:p>
      <w:pPr>
        <w:spacing w:after="80"/>
      </w:pPr>
    </w:p>
    <w:p>
      <w:pPr>
        <w:keepNext/>
        <w:spacing w:before="240" w:after="80"/>
        <w:jc w:val="left"/>
      </w:pPr>
      <w:r>
        <w:rPr>
          <w:rFonts w:ascii="Calibri" w:hAnsi="Calibri"/>
          <w:b/>
          <w:color w:val="143C64"/>
          <w:sz w:val="26"/>
        </w:rPr>
        <w:t>1.1  Legenda de sustentação</w:t>
      </w:r>
    </w:p>
    <w:p>
      <w:pPr>
        <w:spacing w:after="120"/>
        <w:jc w:val="both"/>
      </w:pPr>
      <w:r>
        <w:rPr>
          <w:rFonts w:ascii="Calibri" w:hAnsi="Calibri"/>
          <w:b w:val="0"/>
          <w:i w:val="0"/>
          <w:color w:val="1A1A1A"/>
          <w:sz w:val="24"/>
        </w:rPr>
        <w:t>Toda afirmação relevante deste documento está classificada em uma das quatro categorias abaixo. A classificação é obrigatória e existe para impedir que recomendação técnica seja lida como obrigação normativa, e que lacuna de dados seja lida como ausência de risco.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4228"/>
        <w:gridCol w:w="4844"/>
      </w:tblGrid>
      <w:tr>
        <w:trPr>
          <w:cantSplit/>
          <w:tblHeader/>
        </w:trPr>
        <w:tc>
          <w:tcPr>
            <w:tcW w:type="dxa" w:w="4228"/>
            <w:shd w:val="clear" w:color="auto" w:fill="143C64"/>
          </w:tcPr>
          <w:p>
            <w:pPr>
              <w:spacing w:after="0"/>
              <w:jc w:val="left"/>
            </w:pPr>
            <w:r/>
            <w:r>
              <w:rPr>
                <w:rFonts w:ascii="Calibri" w:hAnsi="Calibri"/>
                <w:b/>
                <w:color w:val="FFFFFF"/>
                <w:sz w:val="24"/>
              </w:rPr>
              <w:t>Categoria</w:t>
            </w:r>
          </w:p>
        </w:tc>
        <w:tc>
          <w:tcPr>
            <w:tcW w:type="dxa" w:w="4844"/>
            <w:shd w:val="clear" w:color="auto" w:fill="143C64"/>
          </w:tcPr>
          <w:p>
            <w:pPr>
              <w:spacing w:after="0"/>
              <w:jc w:val="left"/>
            </w:pPr>
            <w:r/>
            <w:r>
              <w:rPr>
                <w:rFonts w:ascii="Calibri" w:hAnsi="Calibri"/>
                <w:b/>
                <w:color w:val="FFFFFF"/>
                <w:sz w:val="24"/>
              </w:rPr>
              <w:t>Definição</w:t>
            </w:r>
          </w:p>
        </w:tc>
      </w:tr>
      <w:tr>
        <w:trPr>
          <w:cantSplit/>
        </w:trPr>
        <w:tc>
          <w:tcPr>
            <w:tcW w:type="dxa" w:w="4228"/>
          </w:tcPr>
          <w:p>
            <w:pPr>
              <w:spacing w:after="0"/>
              <w:jc w:val="left"/>
            </w:pPr>
            <w:r/>
            <w:r>
              <w:rPr>
                <w:rFonts w:ascii="Calibri" w:hAnsi="Calibri"/>
                <w:b/>
                <w:color w:val="1A1A1A"/>
                <w:sz w:val="24"/>
              </w:rPr>
              <w:t>EXIGÊNCIA NORMATIVA</w:t>
            </w:r>
          </w:p>
        </w:tc>
        <w:tc>
          <w:tcPr>
            <w:tcW w:type="dxa" w:w="4844"/>
          </w:tcPr>
          <w:p>
            <w:pPr>
              <w:spacing w:after="0"/>
              <w:jc w:val="left"/>
            </w:pPr>
            <w:r/>
            <w:r>
              <w:rPr>
                <w:rFonts w:ascii="Calibri" w:hAnsi="Calibri"/>
                <w:b w:val="0"/>
                <w:color w:val="1A1A1A"/>
                <w:sz w:val="24"/>
              </w:rPr>
              <w:t>Obrigação derivada de ato vigente, com fonte identificável e data de consulta registrada.</w:t>
            </w:r>
          </w:p>
        </w:tc>
      </w:tr>
      <w:tr>
        <w:trPr>
          <w:cantSplit/>
        </w:trPr>
        <w:tc>
          <w:tcPr>
            <w:tcW w:type="dxa" w:w="4228"/>
            <w:shd w:val="clear" w:color="auto" w:fill="F2F5F8"/>
          </w:tcPr>
          <w:p>
            <w:pPr>
              <w:spacing w:after="0"/>
              <w:jc w:val="left"/>
            </w:pPr>
            <w:r/>
            <w:r>
              <w:rPr>
                <w:rFonts w:ascii="Calibri" w:hAnsi="Calibri"/>
                <w:b/>
                <w:color w:val="1A1A1A"/>
                <w:sz w:val="24"/>
              </w:rPr>
              <w:t>EVIDÊNCIA CIENTÍFICA</w:t>
            </w:r>
          </w:p>
        </w:tc>
        <w:tc>
          <w:tcPr>
            <w:tcW w:type="dxa" w:w="4844"/>
            <w:shd w:val="clear" w:color="auto" w:fill="F2F5F8"/>
          </w:tcPr>
          <w:p>
            <w:pPr>
              <w:spacing w:after="0"/>
              <w:jc w:val="left"/>
            </w:pPr>
            <w:r/>
            <w:r>
              <w:rPr>
                <w:rFonts w:ascii="Calibri" w:hAnsi="Calibri"/>
                <w:b w:val="0"/>
                <w:color w:val="1A1A1A"/>
                <w:sz w:val="24"/>
              </w:rPr>
              <w:t>Conclusão compatível com estudo indexado, apresentada com o desenho do estudo e suas limitações.</w:t>
            </w:r>
          </w:p>
        </w:tc>
      </w:tr>
      <w:tr>
        <w:trPr>
          <w:cantSplit/>
        </w:trPr>
        <w:tc>
          <w:tcPr>
            <w:tcW w:type="dxa" w:w="4228"/>
          </w:tcPr>
          <w:p>
            <w:pPr>
              <w:spacing w:after="0"/>
              <w:jc w:val="left"/>
            </w:pPr>
            <w:r/>
            <w:r>
              <w:rPr>
                <w:rFonts w:ascii="Calibri" w:hAnsi="Calibri"/>
                <w:b/>
                <w:color w:val="1A1A1A"/>
                <w:sz w:val="24"/>
              </w:rPr>
              <w:t>RECOMENDAÇÃO TÉCNICA</w:t>
            </w:r>
          </w:p>
        </w:tc>
        <w:tc>
          <w:tcPr>
            <w:tcW w:type="dxa" w:w="4844"/>
          </w:tcPr>
          <w:p>
            <w:pPr>
              <w:spacing w:after="0"/>
              <w:jc w:val="left"/>
            </w:pPr>
            <w:r/>
            <w:r>
              <w:rPr>
                <w:rFonts w:ascii="Calibri" w:hAnsi="Calibri"/>
                <w:b w:val="0"/>
                <w:color w:val="1A1A1A"/>
                <w:sz w:val="24"/>
              </w:rPr>
              <w:t>Orientação prudencial derivada de risco, boa prática e coerência com as fontes, sem força normativa.</w:t>
            </w:r>
          </w:p>
        </w:tc>
      </w:tr>
      <w:tr>
        <w:trPr>
          <w:cantSplit/>
        </w:trPr>
        <w:tc>
          <w:tcPr>
            <w:tcW w:type="dxa" w:w="4228"/>
            <w:shd w:val="clear" w:color="auto" w:fill="F2F5F8"/>
          </w:tcPr>
          <w:p>
            <w:pPr>
              <w:spacing w:after="0"/>
              <w:jc w:val="left"/>
            </w:pPr>
            <w:r/>
            <w:r>
              <w:rPr>
                <w:rFonts w:ascii="Calibri" w:hAnsi="Calibri"/>
                <w:b/>
                <w:color w:val="1A1A1A"/>
                <w:sz w:val="24"/>
              </w:rPr>
              <w:t>PENDÊNCIA INSTITUCIONAL</w:t>
            </w:r>
          </w:p>
        </w:tc>
        <w:tc>
          <w:tcPr>
            <w:tcW w:type="dxa" w:w="4844"/>
            <w:shd w:val="clear" w:color="auto" w:fill="F2F5F8"/>
          </w:tcPr>
          <w:p>
            <w:pPr>
              <w:spacing w:after="0"/>
              <w:jc w:val="left"/>
            </w:pPr>
            <w:r/>
            <w:r>
              <w:rPr>
                <w:rFonts w:ascii="Calibri" w:hAnsi="Calibri"/>
                <w:b w:val="0"/>
                <w:color w:val="1A1A1A"/>
                <w:sz w:val="24"/>
              </w:rPr>
              <w:t>Ponto que depende de deliberação do colegiado, de resposta de órgão, de dados primários ou de validação superior.</w:t>
            </w:r>
          </w:p>
        </w:tc>
      </w:tr>
    </w:tbl>
    <w:p>
      <w:pPr>
        <w:keepNext/>
        <w:spacing w:before="360" w:after="160"/>
        <w:jc w:val="left"/>
        <w:pBdr>
          <w:bottom w:val="single" w:sz="8" w:space="4" w:color="143C64"/>
        </w:pBdr>
      </w:pPr>
      <w:r>
        <w:rPr>
          <w:rFonts w:ascii="Calibri" w:hAnsi="Calibri"/>
          <w:b/>
          <w:color w:val="143C64"/>
          <w:sz w:val="30"/>
        </w:rPr>
        <w:t>2  Síntese executiva</w:t>
      </w:r>
    </w:p>
    <w:p>
      <w:pPr>
        <w:spacing w:after="120"/>
        <w:jc w:val="both"/>
      </w:pPr>
      <w:r>
        <w:rPr>
          <w:rFonts w:ascii="Calibri" w:hAnsi="Calibri"/>
          <w:b w:val="0"/>
          <w:i w:val="0"/>
          <w:color w:val="1A1A1A"/>
          <w:sz w:val="24"/>
        </w:rPr>
        <w:t>O Programa articula dois mandatos complementares: fortalecer a cultura de segurança clínica em Harmonização Orofacial e criar um método transparente de análise de tecnologias emergentes. O princípio orientador é que a inovação responsável deve avançar na mesma medida da proteção do paciente. Onde a evidência não sustenta a recomendação, o Programa registra a lacuna em vez de preencher o vazio com opinião.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4779"/>
        <w:gridCol w:w="4293"/>
      </w:tblGrid>
      <w:tr>
        <w:trPr>
          <w:cantSplit/>
          <w:tblHeader/>
        </w:trPr>
        <w:tc>
          <w:tcPr>
            <w:tcW w:type="dxa" w:w="4779"/>
            <w:shd w:val="clear" w:color="auto" w:fill="143C64"/>
          </w:tcPr>
          <w:p>
            <w:pPr>
              <w:spacing w:after="0"/>
              <w:jc w:val="left"/>
            </w:pPr>
            <w:r/>
            <w:r>
              <w:rPr>
                <w:rFonts w:ascii="Calibri" w:hAnsi="Calibri"/>
                <w:b/>
                <w:color w:val="FFFFFF"/>
                <w:sz w:val="24"/>
              </w:rPr>
              <w:t>Resultado institucional esperado</w:t>
            </w:r>
          </w:p>
        </w:tc>
        <w:tc>
          <w:tcPr>
            <w:tcW w:type="dxa" w:w="4293"/>
            <w:shd w:val="clear" w:color="auto" w:fill="143C64"/>
          </w:tcPr>
          <w:p>
            <w:pPr>
              <w:spacing w:after="0"/>
              <w:jc w:val="left"/>
            </w:pPr>
            <w:r/>
            <w:r>
              <w:rPr>
                <w:rFonts w:ascii="Calibri" w:hAnsi="Calibri"/>
                <w:b/>
                <w:color w:val="FFFFFF"/>
                <w:sz w:val="24"/>
              </w:rPr>
              <w:t>Instrumento que o materializa</w:t>
            </w:r>
          </w:p>
        </w:tc>
      </w:tr>
      <w:tr>
        <w:trPr>
          <w:cantSplit/>
        </w:trPr>
        <w:tc>
          <w:tcPr>
            <w:tcW w:type="dxa" w:w="4779"/>
          </w:tcPr>
          <w:p>
            <w:pPr>
              <w:spacing w:after="0"/>
              <w:jc w:val="left"/>
            </w:pPr>
            <w:r/>
            <w:r>
              <w:rPr>
                <w:rFonts w:ascii="Calibri" w:hAnsi="Calibri"/>
                <w:b w:val="0"/>
                <w:color w:val="1A1A1A"/>
                <w:sz w:val="24"/>
              </w:rPr>
              <w:t>Padronizar prevenção, reconhecimento precoce, resposta inicial, encaminhamento e documentação das intercorrências prioritárias.</w:t>
            </w:r>
          </w:p>
        </w:tc>
        <w:tc>
          <w:tcPr>
            <w:tcW w:type="dxa" w:w="4293"/>
          </w:tcPr>
          <w:p>
            <w:pPr>
              <w:spacing w:after="0"/>
              <w:jc w:val="left"/>
            </w:pPr>
            <w:r/>
            <w:r>
              <w:rPr>
                <w:rFonts w:ascii="Calibri" w:hAnsi="Calibri"/>
                <w:b w:val="0"/>
                <w:color w:val="1A1A1A"/>
                <w:sz w:val="24"/>
              </w:rPr>
              <w:t>Fluxograma Estadual e Guia de Diagnóstico Precoce.</w:t>
            </w:r>
          </w:p>
        </w:tc>
      </w:tr>
      <w:tr>
        <w:trPr>
          <w:cantSplit/>
        </w:trPr>
        <w:tc>
          <w:tcPr>
            <w:tcW w:type="dxa" w:w="4779"/>
            <w:shd w:val="clear" w:color="auto" w:fill="F2F5F8"/>
          </w:tcPr>
          <w:p>
            <w:pPr>
              <w:spacing w:after="0"/>
              <w:jc w:val="left"/>
            </w:pPr>
            <w:r/>
            <w:r>
              <w:rPr>
                <w:rFonts w:ascii="Calibri" w:hAnsi="Calibri"/>
                <w:b w:val="0"/>
                <w:color w:val="1A1A1A"/>
                <w:sz w:val="24"/>
              </w:rPr>
              <w:t>Disponibilizar instrumentos aplicáveis à rotina do consultório, e não apenas documentos de leitura.</w:t>
            </w:r>
          </w:p>
        </w:tc>
        <w:tc>
          <w:tcPr>
            <w:tcW w:type="dxa" w:w="4293"/>
            <w:shd w:val="clear" w:color="auto" w:fill="F2F5F8"/>
          </w:tcPr>
          <w:p>
            <w:pPr>
              <w:spacing w:after="0"/>
              <w:jc w:val="left"/>
            </w:pPr>
            <w:r/>
            <w:r>
              <w:rPr>
                <w:rFonts w:ascii="Calibri" w:hAnsi="Calibri"/>
                <w:b w:val="0"/>
                <w:color w:val="1A1A1A"/>
                <w:sz w:val="24"/>
              </w:rPr>
              <w:t>Checklist de Segurança Clínica e POPs prioritários.</w:t>
            </w:r>
          </w:p>
        </w:tc>
      </w:tr>
      <w:tr>
        <w:trPr>
          <w:cantSplit/>
        </w:trPr>
        <w:tc>
          <w:tcPr>
            <w:tcW w:type="dxa" w:w="4779"/>
          </w:tcPr>
          <w:p>
            <w:pPr>
              <w:spacing w:after="0"/>
              <w:jc w:val="left"/>
            </w:pPr>
            <w:r/>
            <w:r>
              <w:rPr>
                <w:rFonts w:ascii="Calibri" w:hAnsi="Calibri"/>
                <w:b w:val="0"/>
                <w:color w:val="1A1A1A"/>
                <w:sz w:val="24"/>
              </w:rPr>
              <w:t>Estabelecer método único, rastreável e independente de avaliação de tecnologias.</w:t>
            </w:r>
          </w:p>
        </w:tc>
        <w:tc>
          <w:tcPr>
            <w:tcW w:type="dxa" w:w="4293"/>
          </w:tcPr>
          <w:p>
            <w:pPr>
              <w:spacing w:after="0"/>
              <w:jc w:val="left"/>
            </w:pPr>
            <w:r/>
            <w:r>
              <w:rPr>
                <w:rFonts w:ascii="Calibri" w:hAnsi="Calibri"/>
                <w:b w:val="0"/>
                <w:color w:val="1A1A1A"/>
                <w:sz w:val="24"/>
              </w:rPr>
              <w:t>Matriz de Avaliação Tecnológica em oito dimensões.</w:t>
            </w:r>
          </w:p>
        </w:tc>
      </w:tr>
      <w:tr>
        <w:trPr>
          <w:cantSplit/>
        </w:trPr>
        <w:tc>
          <w:tcPr>
            <w:tcW w:type="dxa" w:w="4779"/>
            <w:shd w:val="clear" w:color="auto" w:fill="F2F5F8"/>
          </w:tcPr>
          <w:p>
            <w:pPr>
              <w:spacing w:after="0"/>
              <w:jc w:val="left"/>
            </w:pPr>
            <w:r/>
            <w:r>
              <w:rPr>
                <w:rFonts w:ascii="Calibri" w:hAnsi="Calibri"/>
                <w:b w:val="0"/>
                <w:color w:val="1A1A1A"/>
                <w:sz w:val="24"/>
              </w:rPr>
              <w:t>Distinguir de forma explícita evidência científica, exigência normativa, recomendação técnica e pendência institucional.</w:t>
            </w:r>
          </w:p>
        </w:tc>
        <w:tc>
          <w:tcPr>
            <w:tcW w:type="dxa" w:w="4293"/>
            <w:shd w:val="clear" w:color="auto" w:fill="F2F5F8"/>
          </w:tcPr>
          <w:p>
            <w:pPr>
              <w:spacing w:after="0"/>
              <w:jc w:val="left"/>
            </w:pPr>
            <w:r/>
            <w:r>
              <w:rPr>
                <w:rFonts w:ascii="Calibri" w:hAnsi="Calibri"/>
                <w:b w:val="0"/>
                <w:color w:val="1A1A1A"/>
                <w:sz w:val="24"/>
              </w:rPr>
              <w:t>Legenda de sustentação aplicada a todo o pacote e Matriz de Evidências.</w:t>
            </w:r>
          </w:p>
        </w:tc>
      </w:tr>
      <w:tr>
        <w:trPr>
          <w:cantSplit/>
        </w:trPr>
        <w:tc>
          <w:tcPr>
            <w:tcW w:type="dxa" w:w="4779"/>
          </w:tcPr>
          <w:p>
            <w:pPr>
              <w:spacing w:after="0"/>
              <w:jc w:val="left"/>
            </w:pPr>
            <w:r/>
            <w:r>
              <w:rPr>
                <w:rFonts w:ascii="Calibri" w:hAnsi="Calibri"/>
                <w:b w:val="0"/>
                <w:color w:val="1A1A1A"/>
                <w:sz w:val="24"/>
              </w:rPr>
              <w:t>Consolidar um conjunto tecnicamente revisado para validação da Diretoria Executiva.</w:t>
            </w:r>
          </w:p>
        </w:tc>
        <w:tc>
          <w:tcPr>
            <w:tcW w:type="dxa" w:w="4293"/>
          </w:tcPr>
          <w:p>
            <w:pPr>
              <w:spacing w:after="0"/>
              <w:jc w:val="left"/>
            </w:pPr>
            <w:r/>
            <w:r>
              <w:rPr>
                <w:rFonts w:ascii="Calibri" w:hAnsi="Calibri"/>
                <w:b w:val="0"/>
                <w:color w:val="1A1A1A"/>
                <w:sz w:val="24"/>
              </w:rPr>
              <w:t>Índice Mestre e Controle de Entregas.</w:t>
            </w:r>
          </w:p>
        </w:tc>
      </w:tr>
    </w:tbl>
    <w:p>
      <w:pPr>
        <w:keepNext/>
        <w:spacing w:before="360" w:after="160"/>
        <w:jc w:val="left"/>
        <w:pBdr>
          <w:bottom w:val="single" w:sz="8" w:space="4" w:color="143C64"/>
        </w:pBdr>
      </w:pPr>
      <w:r>
        <w:rPr>
          <w:rFonts w:ascii="Calibri" w:hAnsi="Calibri"/>
          <w:b/>
          <w:color w:val="143C64"/>
          <w:sz w:val="30"/>
        </w:rPr>
        <w:t>3  Escopo, autoridade e limites</w:t>
      </w:r>
    </w:p>
    <w:p>
      <w:pPr>
        <w:spacing w:after="120"/>
        <w:jc w:val="both"/>
      </w:pPr>
      <w:r>
        <w:rPr>
          <w:rFonts w:ascii="Calibri" w:hAnsi="Calibri"/>
          <w:b w:val="0"/>
          <w:i w:val="0"/>
          <w:color w:val="1A1A1A"/>
          <w:sz w:val="24"/>
        </w:rPr>
        <w:t>A atuação do Núcleo 5 é técnico-científica e consultiva. O Núcleo produz estudos, análises, instrumentos orientadores e documentos técnicos dentro da competência da Câmara Técnica. Não exerce poder fiscalizatório, normativo ou julgador, e não publica materiais por iniciativa isolada de seus membros. Essa delimitação não é formalidade: é o que permite ao Núcleo opinar tecnicamente sem gerar efeito regulatório indevido.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4412"/>
        <w:gridCol w:w="4660"/>
      </w:tblGrid>
      <w:tr>
        <w:trPr>
          <w:cantSplit/>
          <w:tblHeader/>
        </w:trPr>
        <w:tc>
          <w:tcPr>
            <w:tcW w:type="dxa" w:w="4412"/>
            <w:shd w:val="clear" w:color="auto" w:fill="143C64"/>
          </w:tcPr>
          <w:p>
            <w:pPr>
              <w:spacing w:after="0"/>
              <w:jc w:val="left"/>
            </w:pPr>
            <w:r/>
            <w:r>
              <w:rPr>
                <w:rFonts w:ascii="Calibri" w:hAnsi="Calibri"/>
                <w:b/>
                <w:color w:val="FFFFFF"/>
                <w:sz w:val="24"/>
              </w:rPr>
              <w:t>O Núcleo deve</w:t>
            </w:r>
          </w:p>
        </w:tc>
        <w:tc>
          <w:tcPr>
            <w:tcW w:type="dxa" w:w="4660"/>
            <w:shd w:val="clear" w:color="auto" w:fill="143C64"/>
          </w:tcPr>
          <w:p>
            <w:pPr>
              <w:spacing w:after="0"/>
              <w:jc w:val="left"/>
            </w:pPr>
            <w:r/>
            <w:r>
              <w:rPr>
                <w:rFonts w:ascii="Calibri" w:hAnsi="Calibri"/>
                <w:b/>
                <w:color w:val="FFFFFF"/>
                <w:sz w:val="24"/>
              </w:rPr>
              <w:t>O Núcleo não deve</w:t>
            </w:r>
          </w:p>
        </w:tc>
      </w:tr>
      <w:tr>
        <w:trPr>
          <w:cantSplit/>
        </w:trPr>
        <w:tc>
          <w:tcPr>
            <w:tcW w:type="dxa" w:w="4412"/>
          </w:tcPr>
          <w:p>
            <w:pPr>
              <w:spacing w:after="0"/>
              <w:jc w:val="left"/>
            </w:pPr>
            <w:r/>
            <w:r>
              <w:rPr>
                <w:rFonts w:ascii="Calibri" w:hAnsi="Calibri"/>
                <w:b w:val="0"/>
                <w:color w:val="1A1A1A"/>
                <w:sz w:val="24"/>
              </w:rPr>
              <w:t>Avaliar criticamente tecnologias e evidências.</w:t>
            </w:r>
          </w:p>
        </w:tc>
        <w:tc>
          <w:tcPr>
            <w:tcW w:type="dxa" w:w="4660"/>
          </w:tcPr>
          <w:p>
            <w:pPr>
              <w:spacing w:after="0"/>
              <w:jc w:val="left"/>
            </w:pPr>
            <w:r/>
            <w:r>
              <w:rPr>
                <w:rFonts w:ascii="Calibri" w:hAnsi="Calibri"/>
                <w:b w:val="0"/>
                <w:color w:val="1A1A1A"/>
                <w:sz w:val="24"/>
              </w:rPr>
              <w:t>Apresentar opinião individual como posição oficial do CRO-MG.</w:t>
            </w:r>
          </w:p>
        </w:tc>
      </w:tr>
      <w:tr>
        <w:trPr>
          <w:cantSplit/>
        </w:trPr>
        <w:tc>
          <w:tcPr>
            <w:tcW w:type="dxa" w:w="4412"/>
            <w:shd w:val="clear" w:color="auto" w:fill="F2F5F8"/>
          </w:tcPr>
          <w:p>
            <w:pPr>
              <w:spacing w:after="0"/>
              <w:jc w:val="left"/>
            </w:pPr>
            <w:r/>
            <w:r>
              <w:rPr>
                <w:rFonts w:ascii="Calibri" w:hAnsi="Calibri"/>
                <w:b w:val="0"/>
                <w:color w:val="1A1A1A"/>
                <w:sz w:val="24"/>
              </w:rPr>
              <w:t>Produzir orientações de segurança e instrumentos técnicos.</w:t>
            </w:r>
          </w:p>
        </w:tc>
        <w:tc>
          <w:tcPr>
            <w:tcW w:type="dxa" w:w="4660"/>
            <w:shd w:val="clear" w:color="auto" w:fill="F2F5F8"/>
          </w:tcPr>
          <w:p>
            <w:pPr>
              <w:spacing w:after="0"/>
              <w:jc w:val="left"/>
            </w:pPr>
            <w:r/>
            <w:r>
              <w:rPr>
                <w:rFonts w:ascii="Calibri" w:hAnsi="Calibri"/>
                <w:b w:val="0"/>
                <w:color w:val="1A1A1A"/>
                <w:sz w:val="24"/>
              </w:rPr>
              <w:t>Promover marcas, produtos, fabricantes ou empresas.</w:t>
            </w:r>
          </w:p>
        </w:tc>
      </w:tr>
      <w:tr>
        <w:trPr>
          <w:cantSplit/>
        </w:trPr>
        <w:tc>
          <w:tcPr>
            <w:tcW w:type="dxa" w:w="4412"/>
          </w:tcPr>
          <w:p>
            <w:pPr>
              <w:spacing w:after="0"/>
              <w:jc w:val="left"/>
            </w:pPr>
            <w:r/>
            <w:r>
              <w:rPr>
                <w:rFonts w:ascii="Calibri" w:hAnsi="Calibri"/>
                <w:b w:val="0"/>
                <w:color w:val="1A1A1A"/>
                <w:sz w:val="24"/>
              </w:rPr>
              <w:t>Declarar conflitos de interesse e preservar independência técnica.</w:t>
            </w:r>
          </w:p>
        </w:tc>
        <w:tc>
          <w:tcPr>
            <w:tcW w:type="dxa" w:w="4660"/>
          </w:tcPr>
          <w:p>
            <w:pPr>
              <w:spacing w:after="0"/>
              <w:jc w:val="left"/>
            </w:pPr>
            <w:r/>
            <w:r>
              <w:rPr>
                <w:rFonts w:ascii="Calibri" w:hAnsi="Calibri"/>
                <w:b w:val="0"/>
                <w:color w:val="1A1A1A"/>
                <w:sz w:val="24"/>
              </w:rPr>
              <w:t>Tratar vínculo comercial como evidência de mérito ou de demérito tecnológico.</w:t>
            </w:r>
          </w:p>
        </w:tc>
      </w:tr>
      <w:tr>
        <w:trPr>
          <w:cantSplit/>
        </w:trPr>
        <w:tc>
          <w:tcPr>
            <w:tcW w:type="dxa" w:w="4412"/>
            <w:shd w:val="clear" w:color="auto" w:fill="F2F5F8"/>
          </w:tcPr>
          <w:p>
            <w:pPr>
              <w:spacing w:after="0"/>
              <w:jc w:val="left"/>
            </w:pPr>
            <w:r/>
            <w:r>
              <w:rPr>
                <w:rFonts w:ascii="Calibri" w:hAnsi="Calibri"/>
                <w:b w:val="0"/>
                <w:color w:val="1A1A1A"/>
                <w:sz w:val="24"/>
              </w:rPr>
              <w:t>Submeter todos os produtos ao fluxo institucional de validação.</w:t>
            </w:r>
          </w:p>
        </w:tc>
        <w:tc>
          <w:tcPr>
            <w:tcW w:type="dxa" w:w="4660"/>
            <w:shd w:val="clear" w:color="auto" w:fill="F2F5F8"/>
          </w:tcPr>
          <w:p>
            <w:pPr>
              <w:spacing w:after="0"/>
              <w:jc w:val="left"/>
            </w:pPr>
            <w:r/>
            <w:r>
              <w:rPr>
                <w:rFonts w:ascii="Calibri" w:hAnsi="Calibri"/>
                <w:b w:val="0"/>
                <w:color w:val="1A1A1A"/>
                <w:sz w:val="24"/>
              </w:rPr>
              <w:t>Divulgar externamente documentos não aprovados.</w:t>
            </w:r>
          </w:p>
        </w:tc>
      </w:tr>
      <w:tr>
        <w:trPr>
          <w:cantSplit/>
        </w:trPr>
        <w:tc>
          <w:tcPr>
            <w:tcW w:type="dxa" w:w="4412"/>
          </w:tcPr>
          <w:p>
            <w:pPr>
              <w:spacing w:after="0"/>
              <w:jc w:val="left"/>
            </w:pPr>
            <w:r/>
            <w:r>
              <w:rPr>
                <w:rFonts w:ascii="Calibri" w:hAnsi="Calibri"/>
                <w:b w:val="0"/>
                <w:color w:val="1A1A1A"/>
                <w:sz w:val="24"/>
              </w:rPr>
              <w:t>Trabalhar com dados agregados, anonimizados ou adequadamente governados.</w:t>
            </w:r>
          </w:p>
        </w:tc>
        <w:tc>
          <w:tcPr>
            <w:tcW w:type="dxa" w:w="4660"/>
          </w:tcPr>
          <w:p>
            <w:pPr>
              <w:spacing w:after="0"/>
              <w:jc w:val="left"/>
            </w:pPr>
            <w:r/>
            <w:r>
              <w:rPr>
                <w:rFonts w:ascii="Calibri" w:hAnsi="Calibri"/>
                <w:b w:val="0"/>
                <w:color w:val="1A1A1A"/>
                <w:sz w:val="24"/>
              </w:rPr>
              <w:t>Compartilhar dados identificáveis de pacientes sem governança apropriada.</w:t>
            </w:r>
          </w:p>
        </w:tc>
      </w:tr>
      <w:tr>
        <w:trPr>
          <w:cantSplit/>
        </w:trPr>
        <w:tc>
          <w:tcPr>
            <w:tcW w:type="dxa" w:w="4412"/>
            <w:shd w:val="clear" w:color="auto" w:fill="F2F5F8"/>
          </w:tcPr>
          <w:p>
            <w:pPr>
              <w:spacing w:after="0"/>
              <w:jc w:val="left"/>
            </w:pPr>
            <w:r/>
            <w:r>
              <w:rPr>
                <w:rFonts w:ascii="Calibri" w:hAnsi="Calibri"/>
                <w:b w:val="0"/>
                <w:color w:val="1A1A1A"/>
                <w:sz w:val="24"/>
              </w:rPr>
              <w:t>Registrar lacuna como lacuna, com a fonte da incerteza declarada.</w:t>
            </w:r>
          </w:p>
        </w:tc>
        <w:tc>
          <w:tcPr>
            <w:tcW w:type="dxa" w:w="4660"/>
            <w:shd w:val="clear" w:color="auto" w:fill="F2F5F8"/>
          </w:tcPr>
          <w:p>
            <w:pPr>
              <w:spacing w:after="0"/>
              <w:jc w:val="left"/>
            </w:pPr>
            <w:r/>
            <w:r>
              <w:rPr>
                <w:rFonts w:ascii="Calibri" w:hAnsi="Calibri"/>
                <w:b w:val="0"/>
                <w:color w:val="1A1A1A"/>
                <w:sz w:val="24"/>
              </w:rPr>
              <w:t>Converter ausência de dados em afirmação de segurança.</w:t>
            </w:r>
          </w:p>
        </w:tc>
      </w:tr>
    </w:tbl>
    <w:p>
      <w:pPr>
        <w:keepNext/>
        <w:spacing w:before="360" w:after="160"/>
        <w:jc w:val="left"/>
        <w:pBdr>
          <w:bottom w:val="single" w:sz="8" w:space="4" w:color="143C64"/>
        </w:pBdr>
      </w:pPr>
      <w:r>
        <w:rPr>
          <w:rFonts w:ascii="Calibri" w:hAnsi="Calibri"/>
          <w:b/>
          <w:color w:val="143C64"/>
          <w:sz w:val="30"/>
        </w:rPr>
        <w:t>4  Arquitetura do Programa</w:t>
      </w:r>
    </w:p>
    <w:p>
      <w:pPr>
        <w:spacing w:after="120"/>
        <w:jc w:val="both"/>
      </w:pPr>
      <w:r>
        <w:rPr>
          <w:rFonts w:ascii="Calibri" w:hAnsi="Calibri"/>
          <w:b w:val="0"/>
          <w:i w:val="0"/>
          <w:color w:val="1A1A1A"/>
          <w:sz w:val="24"/>
        </w:rPr>
        <w:t>O Programa é estruturado em dois eixos que convergem em um único sistema de governança documental. Nenhum produto do Núcleo existe fora de um dos dois eixos, e nenhum eixo produz documento sem passar pelos componentes transversais.</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2480"/>
        <w:gridCol w:w="3107"/>
        <w:gridCol w:w="3486"/>
      </w:tblGrid>
      <w:tr>
        <w:trPr>
          <w:cantSplit/>
          <w:tblHeader/>
        </w:trPr>
        <w:tc>
          <w:tcPr>
            <w:tcW w:type="dxa" w:w="2480"/>
            <w:shd w:val="clear" w:color="auto" w:fill="143C64"/>
          </w:tcPr>
          <w:p>
            <w:pPr>
              <w:spacing w:after="0"/>
              <w:jc w:val="left"/>
            </w:pPr>
            <w:r/>
            <w:r>
              <w:rPr>
                <w:rFonts w:ascii="Calibri" w:hAnsi="Calibri"/>
                <w:b/>
                <w:color w:val="FFFFFF"/>
                <w:sz w:val="24"/>
              </w:rPr>
              <w:t>Eixo</w:t>
            </w:r>
          </w:p>
        </w:tc>
        <w:tc>
          <w:tcPr>
            <w:tcW w:type="dxa" w:w="3107"/>
            <w:shd w:val="clear" w:color="auto" w:fill="143C64"/>
          </w:tcPr>
          <w:p>
            <w:pPr>
              <w:spacing w:after="0"/>
              <w:jc w:val="left"/>
            </w:pPr>
            <w:r/>
            <w:r>
              <w:rPr>
                <w:rFonts w:ascii="Calibri" w:hAnsi="Calibri"/>
                <w:b/>
                <w:color w:val="FFFFFF"/>
                <w:sz w:val="24"/>
              </w:rPr>
              <w:t>Finalidade</w:t>
            </w:r>
          </w:p>
        </w:tc>
        <w:tc>
          <w:tcPr>
            <w:tcW w:type="dxa" w:w="3486"/>
            <w:shd w:val="clear" w:color="auto" w:fill="143C64"/>
          </w:tcPr>
          <w:p>
            <w:pPr>
              <w:spacing w:after="0"/>
              <w:jc w:val="left"/>
            </w:pPr>
            <w:r/>
            <w:r>
              <w:rPr>
                <w:rFonts w:ascii="Calibri" w:hAnsi="Calibri"/>
                <w:b/>
                <w:color w:val="FFFFFF"/>
                <w:sz w:val="24"/>
              </w:rPr>
              <w:t>Produtos vinculados</w:t>
            </w:r>
          </w:p>
        </w:tc>
      </w:tr>
      <w:tr>
        <w:trPr>
          <w:cantSplit/>
        </w:trPr>
        <w:tc>
          <w:tcPr>
            <w:tcW w:type="dxa" w:w="2480"/>
          </w:tcPr>
          <w:p>
            <w:pPr>
              <w:spacing w:after="0"/>
              <w:jc w:val="left"/>
            </w:pPr>
            <w:r/>
            <w:r>
              <w:rPr>
                <w:rFonts w:ascii="Calibri" w:hAnsi="Calibri"/>
                <w:b/>
                <w:color w:val="1A1A1A"/>
                <w:sz w:val="24"/>
              </w:rPr>
              <w:t>Eixo A</w:t>
            </w:r>
          </w:p>
          <w:p>
            <w:pPr>
              <w:spacing w:after="0"/>
              <w:jc w:val="left"/>
            </w:pPr>
            <w:r>
              <w:rPr>
                <w:rFonts w:ascii="Calibri" w:hAnsi="Calibri"/>
                <w:b w:val="0"/>
                <w:color w:val="1A1A1A"/>
                <w:sz w:val="24"/>
              </w:rPr>
              <w:t>HOF Segura</w:t>
            </w:r>
          </w:p>
        </w:tc>
        <w:tc>
          <w:tcPr>
            <w:tcW w:type="dxa" w:w="3107"/>
          </w:tcPr>
          <w:p>
            <w:pPr>
              <w:spacing w:after="0"/>
              <w:jc w:val="left"/>
            </w:pPr>
            <w:r/>
            <w:r>
              <w:rPr>
                <w:rFonts w:ascii="Calibri" w:hAnsi="Calibri"/>
                <w:b w:val="0"/>
                <w:color w:val="1A1A1A"/>
                <w:sz w:val="24"/>
              </w:rPr>
              <w:t>Prevenção, reconhecimento precoce, resposta inicial, encaminhamento e cultura de segurança clínica.</w:t>
            </w:r>
          </w:p>
        </w:tc>
        <w:tc>
          <w:tcPr>
            <w:tcW w:type="dxa" w:w="3486"/>
          </w:tcPr>
          <w:p>
            <w:pPr>
              <w:spacing w:after="0"/>
              <w:jc w:val="left"/>
            </w:pPr>
            <w:r/>
            <w:r>
              <w:rPr>
                <w:rFonts w:ascii="Calibri" w:hAnsi="Calibri"/>
                <w:b w:val="0"/>
                <w:color w:val="1A1A1A"/>
                <w:sz w:val="24"/>
              </w:rPr>
              <w:t>Checklist de Segurança Clínica; Fluxograma Estadual de Intercorrências; Guia de Diagnóstico Precoce; POPs prioritários.</w:t>
            </w:r>
          </w:p>
        </w:tc>
      </w:tr>
      <w:tr>
        <w:trPr>
          <w:cantSplit/>
        </w:trPr>
        <w:tc>
          <w:tcPr>
            <w:tcW w:type="dxa" w:w="2480"/>
            <w:shd w:val="clear" w:color="auto" w:fill="F2F5F8"/>
          </w:tcPr>
          <w:p>
            <w:pPr>
              <w:spacing w:after="0"/>
              <w:jc w:val="left"/>
            </w:pPr>
            <w:r/>
            <w:r>
              <w:rPr>
                <w:rFonts w:ascii="Calibri" w:hAnsi="Calibri"/>
                <w:b/>
                <w:color w:val="1A1A1A"/>
                <w:sz w:val="24"/>
              </w:rPr>
              <w:t>Eixo B</w:t>
            </w:r>
          </w:p>
          <w:p>
            <w:pPr>
              <w:spacing w:after="0"/>
              <w:jc w:val="left"/>
            </w:pPr>
            <w:r>
              <w:rPr>
                <w:rFonts w:ascii="Calibri" w:hAnsi="Calibri"/>
                <w:b w:val="0"/>
                <w:color w:val="1A1A1A"/>
                <w:sz w:val="24"/>
              </w:rPr>
              <w:t>Tecnologias Emergentes</w:t>
            </w:r>
          </w:p>
        </w:tc>
        <w:tc>
          <w:tcPr>
            <w:tcW w:type="dxa" w:w="3107"/>
            <w:shd w:val="clear" w:color="auto" w:fill="F2F5F8"/>
          </w:tcPr>
          <w:p>
            <w:pPr>
              <w:spacing w:after="0"/>
              <w:jc w:val="left"/>
            </w:pPr>
            <w:r/>
            <w:r>
              <w:rPr>
                <w:rFonts w:ascii="Calibri" w:hAnsi="Calibri"/>
                <w:b w:val="0"/>
                <w:color w:val="1A1A1A"/>
                <w:sz w:val="24"/>
              </w:rPr>
              <w:t>Avaliação crítica de benefício, risco, situação regulatória, qualidade da evidência e condições de adoção responsável.</w:t>
            </w:r>
          </w:p>
        </w:tc>
        <w:tc>
          <w:tcPr>
            <w:tcW w:type="dxa" w:w="3486"/>
            <w:shd w:val="clear" w:color="auto" w:fill="F2F5F8"/>
          </w:tcPr>
          <w:p>
            <w:pPr>
              <w:spacing w:after="0"/>
              <w:jc w:val="left"/>
            </w:pPr>
            <w:r/>
            <w:r>
              <w:rPr>
                <w:rFonts w:ascii="Calibri" w:hAnsi="Calibri"/>
                <w:b w:val="0"/>
                <w:color w:val="1A1A1A"/>
                <w:sz w:val="24"/>
              </w:rPr>
              <w:t>Matriz de Avaliação Tecnológica; Relatório-piloto de Tecnologias Emergentes; Manual de Boas Práticas em Tecnologias.</w:t>
            </w:r>
          </w:p>
        </w:tc>
      </w:tr>
    </w:tbl>
    <w:p>
      <w:pPr>
        <w:keepNext/>
        <w:spacing w:before="240" w:after="80"/>
        <w:jc w:val="left"/>
      </w:pPr>
      <w:r>
        <w:rPr>
          <w:rFonts w:ascii="Calibri" w:hAnsi="Calibri"/>
          <w:b/>
          <w:color w:val="143C64"/>
          <w:sz w:val="26"/>
        </w:rPr>
        <w:t>4.1  Componentes transversais</w:t>
      </w:r>
    </w:p>
    <w:p>
      <w:pPr>
        <w:pStyle w:val="ListBullet"/>
        <w:spacing w:after="60"/>
        <w:ind w:left="397"/>
        <w:jc w:val="both"/>
      </w:pPr>
      <w:r>
        <w:rPr>
          <w:rFonts w:ascii="Calibri" w:hAnsi="Calibri"/>
          <w:color w:val="1A1A1A"/>
          <w:sz w:val="24"/>
        </w:rPr>
        <w:t>Matriz de evidências e referências, com rastreabilidade de cada afirmação relevante até a fonte que a sustenta.</w:t>
      </w:r>
    </w:p>
    <w:p>
      <w:pPr>
        <w:pStyle w:val="ListBullet"/>
        <w:spacing w:after="60"/>
        <w:ind w:left="397"/>
        <w:jc w:val="both"/>
      </w:pPr>
      <w:r>
        <w:rPr>
          <w:rFonts w:ascii="Calibri" w:hAnsi="Calibri"/>
          <w:color w:val="1A1A1A"/>
          <w:sz w:val="24"/>
        </w:rPr>
        <w:t>Governança de conflitos de interesse e preservação da independência técnica.</w:t>
      </w:r>
    </w:p>
    <w:p>
      <w:pPr>
        <w:pStyle w:val="ListBullet"/>
        <w:spacing w:after="60"/>
        <w:ind w:left="397"/>
        <w:jc w:val="both"/>
      </w:pPr>
      <w:r>
        <w:rPr>
          <w:rFonts w:ascii="Calibri" w:hAnsi="Calibri"/>
          <w:color w:val="1A1A1A"/>
          <w:sz w:val="24"/>
        </w:rPr>
        <w:t>Controle de versão, revisão por par e validação institucional antes de qualquer circulação externa.</w:t>
      </w:r>
    </w:p>
    <w:p>
      <w:pPr>
        <w:pStyle w:val="ListBullet"/>
        <w:spacing w:after="60"/>
        <w:ind w:left="397"/>
        <w:jc w:val="both"/>
      </w:pPr>
      <w:r>
        <w:rPr>
          <w:rFonts w:ascii="Calibri" w:hAnsi="Calibri"/>
          <w:color w:val="1A1A1A"/>
          <w:sz w:val="24"/>
        </w:rPr>
        <w:t>Comunicação explícita de limites e incertezas, evitando linguagem de aval, de veto ou de obrigatoriedade quando não houver base normativa.</w:t>
      </w:r>
    </w:p>
    <w:p>
      <w:pPr>
        <w:pStyle w:val="ListBullet"/>
        <w:spacing w:after="60"/>
        <w:ind w:left="397"/>
        <w:jc w:val="both"/>
      </w:pPr>
      <w:r>
        <w:rPr>
          <w:rFonts w:ascii="Calibri" w:hAnsi="Calibri"/>
          <w:color w:val="1A1A1A"/>
          <w:sz w:val="24"/>
        </w:rPr>
        <w:t>Monitoramento de indicadores e registro mensal das atividades à Secretaria Executiva.</w:t>
      </w:r>
    </w:p>
    <w:p>
      <w:pPr>
        <w:keepNext/>
        <w:spacing w:before="360" w:after="160"/>
        <w:jc w:val="left"/>
        <w:pBdr>
          <w:bottom w:val="single" w:sz="8" w:space="4" w:color="143C64"/>
        </w:pBdr>
      </w:pPr>
      <w:r>
        <w:rPr>
          <w:rFonts w:ascii="Calibri" w:hAnsi="Calibri"/>
          <w:b/>
          <w:color w:val="143C64"/>
          <w:sz w:val="30"/>
        </w:rPr>
        <w:t>5  Eixo A: as quatro camadas da segurança clínica</w:t>
      </w:r>
    </w:p>
    <w:p>
      <w:pPr>
        <w:spacing w:after="120"/>
        <w:jc w:val="both"/>
      </w:pPr>
      <w:r>
        <w:rPr>
          <w:rFonts w:ascii="Calibri" w:hAnsi="Calibri"/>
          <w:b w:val="0"/>
          <w:i w:val="0"/>
          <w:color w:val="1A1A1A"/>
          <w:sz w:val="24"/>
        </w:rPr>
        <w:t>A segurança clínica é organizada em quatro camadas progressivas. Essa arquitetura existe para que os produtos do Núcleo compartilhem a mesma lógica e não se contradigam. Cada camada tem uma pergunta operacional própria, um produto principal e um registro crítico que comprova sua execução.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2502"/>
        <w:gridCol w:w="2191"/>
        <w:gridCol w:w="2190"/>
        <w:gridCol w:w="2189"/>
      </w:tblGrid>
      <w:tr>
        <w:trPr>
          <w:cantSplit/>
          <w:tblHeader/>
        </w:trPr>
        <w:tc>
          <w:tcPr>
            <w:tcW w:type="dxa" w:w="2502"/>
            <w:shd w:val="clear" w:color="auto" w:fill="143C64"/>
          </w:tcPr>
          <w:p>
            <w:pPr>
              <w:spacing w:after="0"/>
              <w:jc w:val="left"/>
            </w:pPr>
            <w:r/>
            <w:r>
              <w:rPr>
                <w:rFonts w:ascii="Calibri" w:hAnsi="Calibri"/>
                <w:b/>
                <w:color w:val="FFFFFF"/>
                <w:sz w:val="24"/>
              </w:rPr>
              <w:t>Camada</w:t>
            </w:r>
          </w:p>
        </w:tc>
        <w:tc>
          <w:tcPr>
            <w:tcW w:type="dxa" w:w="2191"/>
            <w:shd w:val="clear" w:color="auto" w:fill="143C64"/>
          </w:tcPr>
          <w:p>
            <w:pPr>
              <w:spacing w:after="0"/>
              <w:jc w:val="left"/>
            </w:pPr>
            <w:r/>
            <w:r>
              <w:rPr>
                <w:rFonts w:ascii="Calibri" w:hAnsi="Calibri"/>
                <w:b/>
                <w:color w:val="FFFFFF"/>
                <w:sz w:val="24"/>
              </w:rPr>
              <w:t>Pergunta operacional</w:t>
            </w:r>
          </w:p>
        </w:tc>
        <w:tc>
          <w:tcPr>
            <w:tcW w:type="dxa" w:w="2190"/>
            <w:shd w:val="clear" w:color="auto" w:fill="143C64"/>
          </w:tcPr>
          <w:p>
            <w:pPr>
              <w:spacing w:after="0"/>
              <w:jc w:val="left"/>
            </w:pPr>
            <w:r/>
            <w:r>
              <w:rPr>
                <w:rFonts w:ascii="Calibri" w:hAnsi="Calibri"/>
                <w:b/>
                <w:color w:val="FFFFFF"/>
                <w:sz w:val="24"/>
              </w:rPr>
              <w:t>Produto principal</w:t>
            </w:r>
          </w:p>
        </w:tc>
        <w:tc>
          <w:tcPr>
            <w:tcW w:type="dxa" w:w="2189"/>
            <w:shd w:val="clear" w:color="auto" w:fill="143C64"/>
          </w:tcPr>
          <w:p>
            <w:pPr>
              <w:spacing w:after="0"/>
              <w:jc w:val="left"/>
            </w:pPr>
            <w:r/>
            <w:r>
              <w:rPr>
                <w:rFonts w:ascii="Calibri" w:hAnsi="Calibri"/>
                <w:b/>
                <w:color w:val="FFFFFF"/>
                <w:sz w:val="24"/>
              </w:rPr>
              <w:t>Registro crítico</w:t>
            </w:r>
          </w:p>
        </w:tc>
      </w:tr>
      <w:tr>
        <w:trPr>
          <w:cantSplit/>
        </w:trPr>
        <w:tc>
          <w:tcPr>
            <w:tcW w:type="dxa" w:w="2502"/>
          </w:tcPr>
          <w:p>
            <w:pPr>
              <w:spacing w:after="0"/>
              <w:jc w:val="left"/>
            </w:pPr>
            <w:r/>
            <w:r>
              <w:rPr>
                <w:rFonts w:ascii="Calibri" w:hAnsi="Calibri"/>
                <w:b/>
                <w:color w:val="1A1A1A"/>
                <w:sz w:val="24"/>
              </w:rPr>
              <w:t>1</w:t>
            </w:r>
          </w:p>
          <w:p>
            <w:pPr>
              <w:spacing w:after="0"/>
              <w:jc w:val="left"/>
            </w:pPr>
            <w:r>
              <w:rPr>
                <w:rFonts w:ascii="Calibri" w:hAnsi="Calibri"/>
                <w:b w:val="0"/>
                <w:color w:val="1A1A1A"/>
                <w:sz w:val="24"/>
              </w:rPr>
              <w:t>Prevenção</w:t>
            </w:r>
          </w:p>
        </w:tc>
        <w:tc>
          <w:tcPr>
            <w:tcW w:type="dxa" w:w="2191"/>
          </w:tcPr>
          <w:p>
            <w:pPr>
              <w:spacing w:after="0"/>
              <w:jc w:val="left"/>
            </w:pPr>
            <w:r/>
            <w:r>
              <w:rPr>
                <w:rFonts w:ascii="Calibri" w:hAnsi="Calibri"/>
                <w:b w:val="0"/>
                <w:color w:val="1A1A1A"/>
                <w:sz w:val="24"/>
              </w:rPr>
              <w:t>O que deve estar verificado antes de o procedimento começar?</w:t>
            </w:r>
          </w:p>
        </w:tc>
        <w:tc>
          <w:tcPr>
            <w:tcW w:type="dxa" w:w="2190"/>
          </w:tcPr>
          <w:p>
            <w:pPr>
              <w:spacing w:after="0"/>
              <w:jc w:val="left"/>
            </w:pPr>
            <w:r/>
            <w:r>
              <w:rPr>
                <w:rFonts w:ascii="Calibri" w:hAnsi="Calibri"/>
                <w:b w:val="0"/>
                <w:color w:val="1A1A1A"/>
                <w:sz w:val="24"/>
              </w:rPr>
              <w:t>Checklist de Segurança Clínica.</w:t>
            </w:r>
          </w:p>
        </w:tc>
        <w:tc>
          <w:tcPr>
            <w:tcW w:type="dxa" w:w="2189"/>
          </w:tcPr>
          <w:p>
            <w:pPr>
              <w:spacing w:after="0"/>
              <w:jc w:val="left"/>
            </w:pPr>
            <w:r/>
            <w:r>
              <w:rPr>
                <w:rFonts w:ascii="Calibri" w:hAnsi="Calibri"/>
                <w:b w:val="0"/>
                <w:color w:val="1A1A1A"/>
                <w:sz w:val="24"/>
              </w:rPr>
              <w:t>Conferência documentada antes do início.</w:t>
            </w:r>
          </w:p>
        </w:tc>
      </w:tr>
      <w:tr>
        <w:trPr>
          <w:cantSplit/>
        </w:trPr>
        <w:tc>
          <w:tcPr>
            <w:tcW w:type="dxa" w:w="2502"/>
            <w:shd w:val="clear" w:color="auto" w:fill="F2F5F8"/>
          </w:tcPr>
          <w:p>
            <w:pPr>
              <w:spacing w:after="0"/>
              <w:jc w:val="left"/>
            </w:pPr>
            <w:r/>
            <w:r>
              <w:rPr>
                <w:rFonts w:ascii="Calibri" w:hAnsi="Calibri"/>
                <w:b/>
                <w:color w:val="1A1A1A"/>
                <w:sz w:val="24"/>
              </w:rPr>
              <w:t>2</w:t>
            </w:r>
          </w:p>
          <w:p>
            <w:pPr>
              <w:spacing w:after="0"/>
              <w:jc w:val="left"/>
            </w:pPr>
            <w:r>
              <w:rPr>
                <w:rFonts w:ascii="Calibri" w:hAnsi="Calibri"/>
                <w:b w:val="0"/>
                <w:color w:val="1A1A1A"/>
                <w:sz w:val="24"/>
              </w:rPr>
              <w:t>Reconhecimento</w:t>
            </w:r>
          </w:p>
        </w:tc>
        <w:tc>
          <w:tcPr>
            <w:tcW w:type="dxa" w:w="2191"/>
            <w:shd w:val="clear" w:color="auto" w:fill="F2F5F8"/>
          </w:tcPr>
          <w:p>
            <w:pPr>
              <w:spacing w:after="0"/>
              <w:jc w:val="left"/>
            </w:pPr>
            <w:r/>
            <w:r>
              <w:rPr>
                <w:rFonts w:ascii="Calibri" w:hAnsi="Calibri"/>
                <w:b w:val="0"/>
                <w:color w:val="1A1A1A"/>
                <w:sz w:val="24"/>
              </w:rPr>
              <w:t>Quais sinais alteram a evolução esperada e exigem ação imediata?</w:t>
            </w:r>
          </w:p>
        </w:tc>
        <w:tc>
          <w:tcPr>
            <w:tcW w:type="dxa" w:w="2190"/>
            <w:shd w:val="clear" w:color="auto" w:fill="F2F5F8"/>
          </w:tcPr>
          <w:p>
            <w:pPr>
              <w:spacing w:after="0"/>
              <w:jc w:val="left"/>
            </w:pPr>
            <w:r/>
            <w:r>
              <w:rPr>
                <w:rFonts w:ascii="Calibri" w:hAnsi="Calibri"/>
                <w:b w:val="0"/>
                <w:color w:val="1A1A1A"/>
                <w:sz w:val="24"/>
              </w:rPr>
              <w:t>Guia de Diagnóstico Precoce e Fluxograma.</w:t>
            </w:r>
          </w:p>
        </w:tc>
        <w:tc>
          <w:tcPr>
            <w:tcW w:type="dxa" w:w="2189"/>
            <w:shd w:val="clear" w:color="auto" w:fill="F2F5F8"/>
          </w:tcPr>
          <w:p>
            <w:pPr>
              <w:spacing w:after="0"/>
              <w:jc w:val="left"/>
            </w:pPr>
            <w:r/>
            <w:r>
              <w:rPr>
                <w:rFonts w:ascii="Calibri" w:hAnsi="Calibri"/>
                <w:b w:val="0"/>
                <w:color w:val="1A1A1A"/>
                <w:sz w:val="24"/>
              </w:rPr>
              <w:t>Horário do primeiro sinal e sua descrição objetiva.</w:t>
            </w:r>
          </w:p>
        </w:tc>
      </w:tr>
      <w:tr>
        <w:trPr>
          <w:cantSplit/>
        </w:trPr>
        <w:tc>
          <w:tcPr>
            <w:tcW w:type="dxa" w:w="2502"/>
          </w:tcPr>
          <w:p>
            <w:pPr>
              <w:spacing w:after="0"/>
              <w:jc w:val="left"/>
            </w:pPr>
            <w:r/>
            <w:r>
              <w:rPr>
                <w:rFonts w:ascii="Calibri" w:hAnsi="Calibri"/>
                <w:b/>
                <w:color w:val="1A1A1A"/>
                <w:sz w:val="24"/>
              </w:rPr>
              <w:t>3</w:t>
            </w:r>
          </w:p>
          <w:p>
            <w:pPr>
              <w:spacing w:after="0"/>
              <w:jc w:val="left"/>
            </w:pPr>
            <w:r>
              <w:rPr>
                <w:rFonts w:ascii="Calibri" w:hAnsi="Calibri"/>
                <w:b w:val="0"/>
                <w:color w:val="1A1A1A"/>
                <w:sz w:val="24"/>
              </w:rPr>
              <w:t>Resposta inicial</w:t>
            </w:r>
          </w:p>
        </w:tc>
        <w:tc>
          <w:tcPr>
            <w:tcW w:type="dxa" w:w="2191"/>
          </w:tcPr>
          <w:p>
            <w:pPr>
              <w:spacing w:after="0"/>
              <w:jc w:val="left"/>
            </w:pPr>
            <w:r/>
            <w:r>
              <w:rPr>
                <w:rFonts w:ascii="Calibri" w:hAnsi="Calibri"/>
                <w:b w:val="0"/>
                <w:color w:val="1A1A1A"/>
                <w:sz w:val="24"/>
              </w:rPr>
              <w:t>Qual a primeira resposta segura nos minutos iniciais, com os recursos disponíveis?</w:t>
            </w:r>
          </w:p>
        </w:tc>
        <w:tc>
          <w:tcPr>
            <w:tcW w:type="dxa" w:w="2190"/>
          </w:tcPr>
          <w:p>
            <w:pPr>
              <w:spacing w:after="0"/>
              <w:jc w:val="left"/>
            </w:pPr>
            <w:r/>
            <w:r>
              <w:rPr>
                <w:rFonts w:ascii="Calibri" w:hAnsi="Calibri"/>
                <w:b w:val="0"/>
                <w:color w:val="1A1A1A"/>
                <w:sz w:val="24"/>
              </w:rPr>
              <w:t>Fluxograma e POPs de manejo.</w:t>
            </w:r>
          </w:p>
        </w:tc>
        <w:tc>
          <w:tcPr>
            <w:tcW w:type="dxa" w:w="2189"/>
          </w:tcPr>
          <w:p>
            <w:pPr>
              <w:spacing w:after="0"/>
              <w:jc w:val="left"/>
            </w:pPr>
            <w:r/>
            <w:r>
              <w:rPr>
                <w:rFonts w:ascii="Calibri" w:hAnsi="Calibri"/>
                <w:b w:val="0"/>
                <w:color w:val="1A1A1A"/>
                <w:sz w:val="24"/>
              </w:rPr>
              <w:t>Horário de início da conduta e resposta observada.</w:t>
            </w:r>
          </w:p>
        </w:tc>
      </w:tr>
      <w:tr>
        <w:trPr>
          <w:cantSplit/>
        </w:trPr>
        <w:tc>
          <w:tcPr>
            <w:tcW w:type="dxa" w:w="2502"/>
            <w:shd w:val="clear" w:color="auto" w:fill="F2F5F8"/>
          </w:tcPr>
          <w:p>
            <w:pPr>
              <w:spacing w:after="0"/>
              <w:jc w:val="left"/>
            </w:pPr>
            <w:r/>
            <w:r>
              <w:rPr>
                <w:rFonts w:ascii="Calibri" w:hAnsi="Calibri"/>
                <w:b/>
                <w:color w:val="1A1A1A"/>
                <w:sz w:val="24"/>
              </w:rPr>
              <w:t>4</w:t>
            </w:r>
          </w:p>
          <w:p>
            <w:pPr>
              <w:spacing w:after="0"/>
              <w:jc w:val="left"/>
            </w:pPr>
            <w:r>
              <w:rPr>
                <w:rFonts w:ascii="Calibri" w:hAnsi="Calibri"/>
                <w:b w:val="0"/>
                <w:color w:val="1A1A1A"/>
                <w:sz w:val="24"/>
              </w:rPr>
              <w:t>Encaminhamento e registro</w:t>
            </w:r>
          </w:p>
        </w:tc>
        <w:tc>
          <w:tcPr>
            <w:tcW w:type="dxa" w:w="2191"/>
            <w:shd w:val="clear" w:color="auto" w:fill="F2F5F8"/>
          </w:tcPr>
          <w:p>
            <w:pPr>
              <w:spacing w:after="0"/>
              <w:jc w:val="left"/>
            </w:pPr>
            <w:r/>
            <w:r>
              <w:rPr>
                <w:rFonts w:ascii="Calibri" w:hAnsi="Calibri"/>
                <w:b w:val="0"/>
                <w:color w:val="1A1A1A"/>
                <w:sz w:val="24"/>
              </w:rPr>
              <w:t>Quando escalar, para onde encaminhar, o que documentar e como notificar?</w:t>
            </w:r>
          </w:p>
        </w:tc>
        <w:tc>
          <w:tcPr>
            <w:tcW w:type="dxa" w:w="2190"/>
            <w:shd w:val="clear" w:color="auto" w:fill="F2F5F8"/>
          </w:tcPr>
          <w:p>
            <w:pPr>
              <w:spacing w:after="0"/>
              <w:jc w:val="left"/>
            </w:pPr>
            <w:r/>
            <w:r>
              <w:rPr>
                <w:rFonts w:ascii="Calibri" w:hAnsi="Calibri"/>
                <w:b w:val="0"/>
                <w:color w:val="1A1A1A"/>
                <w:sz w:val="24"/>
              </w:rPr>
              <w:t>Fluxograma, POPs e rotina de notificação.</w:t>
            </w:r>
          </w:p>
        </w:tc>
        <w:tc>
          <w:tcPr>
            <w:tcW w:type="dxa" w:w="2189"/>
            <w:shd w:val="clear" w:color="auto" w:fill="F2F5F8"/>
          </w:tcPr>
          <w:p>
            <w:pPr>
              <w:spacing w:after="0"/>
              <w:jc w:val="left"/>
            </w:pPr>
            <w:r/>
            <w:r>
              <w:rPr>
                <w:rFonts w:ascii="Calibri" w:hAnsi="Calibri"/>
                <w:b w:val="0"/>
                <w:color w:val="1A1A1A"/>
                <w:sz w:val="24"/>
              </w:rPr>
              <w:t>Prontuário completo e continuidade do cuidado.</w:t>
            </w:r>
          </w:p>
        </w:tc>
      </w:tr>
    </w:tbl>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Por que a camada 1 e o checklist são o mesmo instrumento</w:t>
            </w:r>
          </w:p>
          <w:p>
            <w:pPr>
              <w:spacing w:after="0"/>
              <w:jc w:val="both"/>
            </w:pPr>
            <w:r>
              <w:rPr>
                <w:rFonts w:ascii="Calibri" w:hAnsi="Calibri"/>
                <w:color w:val="1A1A1A"/>
                <w:sz w:val="24"/>
              </w:rPr>
              <w:t>A camada de prevenção não é um capítulo teórico. Ela é exatamente a lista de verificações que antecede o procedimento. Tratar as duas coisas como documentos distintos produziria duplicidade e divergência de versões. O checklist é a camada 1 vista do ângulo operacional.</w:t>
            </w:r>
          </w:p>
        </w:tc>
      </w:tr>
    </w:tbl>
    <w:p>
      <w:pPr>
        <w:spacing w:after="80"/>
      </w:pPr>
    </w:p>
    <w:p>
      <w:pPr>
        <w:keepNext/>
        <w:spacing w:before="240" w:after="80"/>
        <w:jc w:val="left"/>
      </w:pPr>
      <w:r>
        <w:rPr>
          <w:rFonts w:ascii="Calibri" w:hAnsi="Calibri"/>
          <w:b/>
          <w:color w:val="143C64"/>
          <w:sz w:val="26"/>
        </w:rPr>
        <w:t>5.1  Fundamento da janela terapêutica</w:t>
      </w:r>
    </w:p>
    <w:p>
      <w:pPr>
        <w:spacing w:after="120"/>
        <w:jc w:val="both"/>
      </w:pPr>
      <w:r>
        <w:rPr>
          <w:rFonts w:ascii="Calibri" w:hAnsi="Calibri"/>
          <w:b w:val="0"/>
          <w:i w:val="0"/>
          <w:color w:val="1A1A1A"/>
          <w:sz w:val="24"/>
        </w:rPr>
        <w:t>A ênfase do Programa no reconhecimento precoce não é retórica. Revisão sistemática sobre oclusão vascular por preenchedores com envolvimento exclusivamente cutâneo descreve dor e alteração da cor da pele como os sinais mais prevalentes, e relata que a intervenção nas primeiras quatro a seis horas melhora significativamente o prognóstico, com isquemia em estágio inicial reversível em até oitenta por cento dos casos. É esse intervalo que justifica a existência de um fluxo escrito, disponível na cadeira, em vez de conduta reconstruída de memória sob estresse. EVIDÊNCIA CIENTÍFICA. Revisão sistemática, literatura médica, com as limitações próprias de síntese narrativa de séries e consensos.</w:t>
      </w:r>
    </w:p>
    <w:p>
      <w:pPr>
        <w:keepNext/>
        <w:spacing w:before="360" w:after="160"/>
        <w:jc w:val="left"/>
        <w:pBdr>
          <w:bottom w:val="single" w:sz="8" w:space="4" w:color="143C64"/>
        </w:pBdr>
      </w:pPr>
      <w:r>
        <w:rPr>
          <w:rFonts w:ascii="Calibri" w:hAnsi="Calibri"/>
          <w:b/>
          <w:color w:val="143C64"/>
          <w:sz w:val="30"/>
        </w:rPr>
        <w:t>6  Eixo B: da opinião ao critério comum</w:t>
      </w:r>
    </w:p>
    <w:p>
      <w:pPr>
        <w:spacing w:after="120"/>
        <w:jc w:val="both"/>
      </w:pPr>
      <w:r>
        <w:rPr>
          <w:rFonts w:ascii="Calibri" w:hAnsi="Calibri"/>
          <w:b w:val="0"/>
          <w:i w:val="0"/>
          <w:color w:val="1A1A1A"/>
          <w:sz w:val="24"/>
        </w:rPr>
        <w:t>A avaliação tecnológica do Núcleo obedece a uma matriz única de oito dimensões. A matriz não substitui análise clínica nem decisão regulatória. Ela oferece método comum, de modo que a conclusão sobre uma tecnologia possa ser explicada, repetida e auditada por quem não participou da análise.</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4289"/>
        <w:gridCol w:w="4783"/>
      </w:tblGrid>
      <w:tr>
        <w:trPr>
          <w:cantSplit/>
          <w:tblHeader/>
        </w:trPr>
        <w:tc>
          <w:tcPr>
            <w:tcW w:type="dxa" w:w="4289"/>
            <w:shd w:val="clear" w:color="auto" w:fill="143C64"/>
          </w:tcPr>
          <w:p>
            <w:pPr>
              <w:spacing w:after="0"/>
              <w:jc w:val="left"/>
            </w:pPr>
            <w:r/>
            <w:r>
              <w:rPr>
                <w:rFonts w:ascii="Calibri" w:hAnsi="Calibri"/>
                <w:b/>
                <w:color w:val="FFFFFF"/>
                <w:sz w:val="24"/>
              </w:rPr>
              <w:t>Dimensão</w:t>
            </w:r>
          </w:p>
        </w:tc>
        <w:tc>
          <w:tcPr>
            <w:tcW w:type="dxa" w:w="4783"/>
            <w:shd w:val="clear" w:color="auto" w:fill="143C64"/>
          </w:tcPr>
          <w:p>
            <w:pPr>
              <w:spacing w:after="0"/>
              <w:jc w:val="left"/>
            </w:pPr>
            <w:r/>
            <w:r>
              <w:rPr>
                <w:rFonts w:ascii="Calibri" w:hAnsi="Calibri"/>
                <w:b/>
                <w:color w:val="FFFFFF"/>
                <w:sz w:val="24"/>
              </w:rPr>
              <w:t>Pergunta orientadora</w:t>
            </w:r>
          </w:p>
        </w:tc>
      </w:tr>
      <w:tr>
        <w:trPr>
          <w:cantSplit/>
        </w:trPr>
        <w:tc>
          <w:tcPr>
            <w:tcW w:type="dxa" w:w="4289"/>
          </w:tcPr>
          <w:p>
            <w:pPr>
              <w:spacing w:after="0"/>
              <w:jc w:val="left"/>
            </w:pPr>
            <w:r/>
            <w:r>
              <w:rPr>
                <w:rFonts w:ascii="Calibri" w:hAnsi="Calibri"/>
                <w:b w:val="0"/>
                <w:color w:val="1A1A1A"/>
                <w:sz w:val="24"/>
              </w:rPr>
              <w:t>1. Situação regulatória</w:t>
            </w:r>
          </w:p>
        </w:tc>
        <w:tc>
          <w:tcPr>
            <w:tcW w:type="dxa" w:w="4783"/>
          </w:tcPr>
          <w:p>
            <w:pPr>
              <w:spacing w:after="0"/>
              <w:jc w:val="left"/>
            </w:pPr>
            <w:r/>
            <w:r>
              <w:rPr>
                <w:rFonts w:ascii="Calibri" w:hAnsi="Calibri"/>
                <w:b w:val="0"/>
                <w:color w:val="1A1A1A"/>
                <w:sz w:val="24"/>
              </w:rPr>
              <w:t>Há regularização válida e indicação de uso compatível com o que se pretende fazer?</w:t>
            </w:r>
          </w:p>
        </w:tc>
      </w:tr>
      <w:tr>
        <w:trPr>
          <w:cantSplit/>
        </w:trPr>
        <w:tc>
          <w:tcPr>
            <w:tcW w:type="dxa" w:w="4289"/>
            <w:shd w:val="clear" w:color="auto" w:fill="F2F5F8"/>
          </w:tcPr>
          <w:p>
            <w:pPr>
              <w:spacing w:after="0"/>
              <w:jc w:val="left"/>
            </w:pPr>
            <w:r/>
            <w:r>
              <w:rPr>
                <w:rFonts w:ascii="Calibri" w:hAnsi="Calibri"/>
                <w:b w:val="0"/>
                <w:color w:val="1A1A1A"/>
                <w:sz w:val="24"/>
              </w:rPr>
              <w:t>2. Nível de evidência</w:t>
            </w:r>
          </w:p>
        </w:tc>
        <w:tc>
          <w:tcPr>
            <w:tcW w:type="dxa" w:w="4783"/>
            <w:shd w:val="clear" w:color="auto" w:fill="F2F5F8"/>
          </w:tcPr>
          <w:p>
            <w:pPr>
              <w:spacing w:after="0"/>
              <w:jc w:val="left"/>
            </w:pPr>
            <w:r/>
            <w:r>
              <w:rPr>
                <w:rFonts w:ascii="Calibri" w:hAnsi="Calibri"/>
                <w:b w:val="0"/>
                <w:color w:val="1A1A1A"/>
                <w:sz w:val="24"/>
              </w:rPr>
              <w:t>Que tipo de estudo sustenta a alegação, com que desenho e que limitações?</w:t>
            </w:r>
          </w:p>
        </w:tc>
      </w:tr>
      <w:tr>
        <w:trPr>
          <w:cantSplit/>
        </w:trPr>
        <w:tc>
          <w:tcPr>
            <w:tcW w:type="dxa" w:w="4289"/>
          </w:tcPr>
          <w:p>
            <w:pPr>
              <w:spacing w:after="0"/>
              <w:jc w:val="left"/>
            </w:pPr>
            <w:r/>
            <w:r>
              <w:rPr>
                <w:rFonts w:ascii="Calibri" w:hAnsi="Calibri"/>
                <w:b w:val="0"/>
                <w:color w:val="1A1A1A"/>
                <w:sz w:val="24"/>
              </w:rPr>
              <w:t>3. Perfil de segurança</w:t>
            </w:r>
          </w:p>
        </w:tc>
        <w:tc>
          <w:tcPr>
            <w:tcW w:type="dxa" w:w="4783"/>
          </w:tcPr>
          <w:p>
            <w:pPr>
              <w:spacing w:after="0"/>
              <w:jc w:val="left"/>
            </w:pPr>
            <w:r/>
            <w:r>
              <w:rPr>
                <w:rFonts w:ascii="Calibri" w:hAnsi="Calibri"/>
                <w:b w:val="0"/>
                <w:color w:val="1A1A1A"/>
                <w:sz w:val="24"/>
              </w:rPr>
              <w:t>Quais eventos adversos são descritos, com que frequência, e há conduta de manejo conhecida?</w:t>
            </w:r>
          </w:p>
        </w:tc>
      </w:tr>
      <w:tr>
        <w:trPr>
          <w:cantSplit/>
        </w:trPr>
        <w:tc>
          <w:tcPr>
            <w:tcW w:type="dxa" w:w="4289"/>
            <w:shd w:val="clear" w:color="auto" w:fill="F2F5F8"/>
          </w:tcPr>
          <w:p>
            <w:pPr>
              <w:spacing w:after="0"/>
              <w:jc w:val="left"/>
            </w:pPr>
            <w:r/>
            <w:r>
              <w:rPr>
                <w:rFonts w:ascii="Calibri" w:hAnsi="Calibri"/>
                <w:b w:val="0"/>
                <w:color w:val="1A1A1A"/>
                <w:sz w:val="24"/>
              </w:rPr>
              <w:t>4. Reprodutibilidade</w:t>
            </w:r>
          </w:p>
        </w:tc>
        <w:tc>
          <w:tcPr>
            <w:tcW w:type="dxa" w:w="4783"/>
            <w:shd w:val="clear" w:color="auto" w:fill="F2F5F8"/>
          </w:tcPr>
          <w:p>
            <w:pPr>
              <w:spacing w:after="0"/>
              <w:jc w:val="left"/>
            </w:pPr>
            <w:r/>
            <w:r>
              <w:rPr>
                <w:rFonts w:ascii="Calibri" w:hAnsi="Calibri"/>
                <w:b w:val="0"/>
                <w:color w:val="1A1A1A"/>
                <w:sz w:val="24"/>
              </w:rPr>
              <w:t>O resultado exige operador de exceção ou é reprodutível na prática clínica comum?</w:t>
            </w:r>
          </w:p>
        </w:tc>
      </w:tr>
      <w:tr>
        <w:trPr>
          <w:cantSplit/>
        </w:trPr>
        <w:tc>
          <w:tcPr>
            <w:tcW w:type="dxa" w:w="4289"/>
          </w:tcPr>
          <w:p>
            <w:pPr>
              <w:spacing w:after="0"/>
              <w:jc w:val="left"/>
            </w:pPr>
            <w:r/>
            <w:r>
              <w:rPr>
                <w:rFonts w:ascii="Calibri" w:hAnsi="Calibri"/>
                <w:b w:val="0"/>
                <w:color w:val="1A1A1A"/>
                <w:sz w:val="24"/>
              </w:rPr>
              <w:t>5. Reversibilidade</w:t>
            </w:r>
          </w:p>
        </w:tc>
        <w:tc>
          <w:tcPr>
            <w:tcW w:type="dxa" w:w="4783"/>
          </w:tcPr>
          <w:p>
            <w:pPr>
              <w:spacing w:after="0"/>
              <w:jc w:val="left"/>
            </w:pPr>
            <w:r/>
            <w:r>
              <w:rPr>
                <w:rFonts w:ascii="Calibri" w:hAnsi="Calibri"/>
                <w:b w:val="0"/>
                <w:color w:val="1A1A1A"/>
                <w:sz w:val="24"/>
              </w:rPr>
              <w:t>Havendo resultado indesejado, o efeito é reversível e existe conduta corretiva conhecida?</w:t>
            </w:r>
          </w:p>
        </w:tc>
      </w:tr>
      <w:tr>
        <w:trPr>
          <w:cantSplit/>
        </w:trPr>
        <w:tc>
          <w:tcPr>
            <w:tcW w:type="dxa" w:w="4289"/>
            <w:shd w:val="clear" w:color="auto" w:fill="F2F5F8"/>
          </w:tcPr>
          <w:p>
            <w:pPr>
              <w:spacing w:after="0"/>
              <w:jc w:val="left"/>
            </w:pPr>
            <w:r/>
            <w:r>
              <w:rPr>
                <w:rFonts w:ascii="Calibri" w:hAnsi="Calibri"/>
                <w:b w:val="0"/>
                <w:color w:val="1A1A1A"/>
                <w:sz w:val="24"/>
              </w:rPr>
              <w:t>6. Escopo profissional</w:t>
            </w:r>
          </w:p>
        </w:tc>
        <w:tc>
          <w:tcPr>
            <w:tcW w:type="dxa" w:w="4783"/>
            <w:shd w:val="clear" w:color="auto" w:fill="F2F5F8"/>
          </w:tcPr>
          <w:p>
            <w:pPr>
              <w:spacing w:after="0"/>
              <w:jc w:val="left"/>
            </w:pPr>
            <w:r/>
            <w:r>
              <w:rPr>
                <w:rFonts w:ascii="Calibri" w:hAnsi="Calibri"/>
                <w:b w:val="0"/>
                <w:color w:val="1A1A1A"/>
                <w:sz w:val="24"/>
              </w:rPr>
              <w:t>O uso está dentro das competências do cirurgião-dentista e em conformidade com o Código de Ética?</w:t>
            </w:r>
          </w:p>
        </w:tc>
      </w:tr>
      <w:tr>
        <w:trPr>
          <w:cantSplit/>
        </w:trPr>
        <w:tc>
          <w:tcPr>
            <w:tcW w:type="dxa" w:w="4289"/>
          </w:tcPr>
          <w:p>
            <w:pPr>
              <w:spacing w:after="0"/>
              <w:jc w:val="left"/>
            </w:pPr>
            <w:r/>
            <w:r>
              <w:rPr>
                <w:rFonts w:ascii="Calibri" w:hAnsi="Calibri"/>
                <w:b w:val="0"/>
                <w:color w:val="1A1A1A"/>
                <w:sz w:val="24"/>
              </w:rPr>
              <w:t>7. Capacitação e infraestrutura</w:t>
            </w:r>
          </w:p>
        </w:tc>
        <w:tc>
          <w:tcPr>
            <w:tcW w:type="dxa" w:w="4783"/>
          </w:tcPr>
          <w:p>
            <w:pPr>
              <w:spacing w:after="0"/>
              <w:jc w:val="left"/>
            </w:pPr>
            <w:r/>
            <w:r>
              <w:rPr>
                <w:rFonts w:ascii="Calibri" w:hAnsi="Calibri"/>
                <w:b w:val="0"/>
                <w:color w:val="1A1A1A"/>
                <w:sz w:val="24"/>
              </w:rPr>
              <w:t>O serviço dispõe de treinamento, recursos de contingência e estrutura compatíveis?</w:t>
            </w:r>
          </w:p>
        </w:tc>
      </w:tr>
      <w:tr>
        <w:trPr>
          <w:cantSplit/>
        </w:trPr>
        <w:tc>
          <w:tcPr>
            <w:tcW w:type="dxa" w:w="4289"/>
            <w:shd w:val="clear" w:color="auto" w:fill="F2F5F8"/>
          </w:tcPr>
          <w:p>
            <w:pPr>
              <w:spacing w:after="0"/>
              <w:jc w:val="left"/>
            </w:pPr>
            <w:r/>
            <w:r>
              <w:rPr>
                <w:rFonts w:ascii="Calibri" w:hAnsi="Calibri"/>
                <w:b w:val="0"/>
                <w:color w:val="1A1A1A"/>
                <w:sz w:val="24"/>
              </w:rPr>
              <w:t>8. Governança de dados</w:t>
            </w:r>
          </w:p>
        </w:tc>
        <w:tc>
          <w:tcPr>
            <w:tcW w:type="dxa" w:w="4783"/>
            <w:shd w:val="clear" w:color="auto" w:fill="F2F5F8"/>
          </w:tcPr>
          <w:p>
            <w:pPr>
              <w:spacing w:after="0"/>
              <w:jc w:val="left"/>
            </w:pPr>
            <w:r/>
            <w:r>
              <w:rPr>
                <w:rFonts w:ascii="Calibri" w:hAnsi="Calibri"/>
                <w:b w:val="0"/>
                <w:color w:val="1A1A1A"/>
                <w:sz w:val="24"/>
              </w:rPr>
              <w:t>Há tratamento de dados pessoais ou de imagem, e existe base legal e controle adequados?</w:t>
            </w:r>
          </w:p>
        </w:tc>
      </w:tr>
    </w:tbl>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Decisão de harmonização registrada</w:t>
            </w:r>
          </w:p>
          <w:p>
            <w:pPr>
              <w:spacing w:after="0"/>
              <w:jc w:val="both"/>
            </w:pPr>
            <w:r>
              <w:rPr>
                <w:rFonts w:ascii="Calibri" w:hAnsi="Calibri"/>
                <w:color w:val="1A1A1A"/>
                <w:sz w:val="24"/>
              </w:rPr>
              <w:t>Versões anteriores do material do Núcleo trabalharam com uma grade de seis dimensões. A versão 2.0 adota oito, incorporando capacitação e infraestrutura e governança de dados. A razão é prática: nas tecnologias de energia, a maior parte do risco não está no equipamento e sim no treinamento e nos recursos de contingência; e nas tecnologias de imagem e software, o risco relevante é de dados. Uma grade que não pergunta essas duas coisas classifica como aceitável uma adoção que não é. Documentos anteriores com seis dimensões devem ser lidos como superados por esta versão.</w:t>
            </w:r>
          </w:p>
        </w:tc>
      </w:tr>
    </w:tbl>
    <w:p>
      <w:pPr>
        <w:spacing w:after="80"/>
      </w:pPr>
    </w:p>
    <w:p>
      <w:pPr>
        <w:keepNext/>
        <w:spacing w:before="360" w:after="160"/>
        <w:jc w:val="left"/>
        <w:pBdr>
          <w:bottom w:val="single" w:sz="8" w:space="4" w:color="143C64"/>
        </w:pBdr>
      </w:pPr>
      <w:r>
        <w:rPr>
          <w:rFonts w:ascii="Calibri" w:hAnsi="Calibri"/>
          <w:b/>
          <w:color w:val="143C64"/>
          <w:sz w:val="30"/>
        </w:rPr>
        <w:t>7  Governança documental e definição de pronto</w:t>
      </w:r>
    </w:p>
    <w:p>
      <w:pPr>
        <w:spacing w:after="120"/>
        <w:jc w:val="both"/>
      </w:pPr>
      <w:r>
        <w:rPr>
          <w:rFonts w:ascii="Calibri" w:hAnsi="Calibri"/>
          <w:b w:val="0"/>
          <w:i w:val="0"/>
          <w:color w:val="1A1A1A"/>
          <w:sz w:val="24"/>
        </w:rPr>
        <w:t>Nenhum documento do Núcleo circula como final antes da aprovação institucional. O controle de versões utiliza nomenclatura padronizada e estados declarados, de modo que qualquer leitor identifique, pelo próprio nome do arquivo, em que etapa ele está.</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479"/>
        <w:gridCol w:w="2809"/>
        <w:gridCol w:w="2784"/>
      </w:tblGrid>
      <w:tr>
        <w:trPr>
          <w:cantSplit/>
          <w:tblHeader/>
        </w:trPr>
        <w:tc>
          <w:tcPr>
            <w:tcW w:type="dxa" w:w="3479"/>
            <w:shd w:val="clear" w:color="auto" w:fill="143C64"/>
          </w:tcPr>
          <w:p>
            <w:pPr>
              <w:spacing w:after="0"/>
              <w:jc w:val="left"/>
            </w:pPr>
            <w:r/>
            <w:r>
              <w:rPr>
                <w:rFonts w:ascii="Calibri" w:hAnsi="Calibri"/>
                <w:b/>
                <w:color w:val="FFFFFF"/>
                <w:sz w:val="24"/>
              </w:rPr>
              <w:t>Estado</w:t>
            </w:r>
          </w:p>
        </w:tc>
        <w:tc>
          <w:tcPr>
            <w:tcW w:type="dxa" w:w="2809"/>
            <w:shd w:val="clear" w:color="auto" w:fill="143C64"/>
          </w:tcPr>
          <w:p>
            <w:pPr>
              <w:spacing w:after="0"/>
              <w:jc w:val="left"/>
            </w:pPr>
            <w:r/>
            <w:r>
              <w:rPr>
                <w:rFonts w:ascii="Calibri" w:hAnsi="Calibri"/>
                <w:b/>
                <w:color w:val="FFFFFF"/>
                <w:sz w:val="24"/>
              </w:rPr>
              <w:t>Significado</w:t>
            </w:r>
          </w:p>
        </w:tc>
        <w:tc>
          <w:tcPr>
            <w:tcW w:type="dxa" w:w="2784"/>
            <w:shd w:val="clear" w:color="auto" w:fill="143C64"/>
          </w:tcPr>
          <w:p>
            <w:pPr>
              <w:spacing w:after="0"/>
              <w:jc w:val="left"/>
            </w:pPr>
            <w:r/>
            <w:r>
              <w:rPr>
                <w:rFonts w:ascii="Calibri" w:hAnsi="Calibri"/>
                <w:b/>
                <w:color w:val="FFFFFF"/>
                <w:sz w:val="24"/>
              </w:rPr>
              <w:t>Circulação permitida</w:t>
            </w:r>
          </w:p>
        </w:tc>
      </w:tr>
      <w:tr>
        <w:trPr>
          <w:cantSplit/>
        </w:trPr>
        <w:tc>
          <w:tcPr>
            <w:tcW w:type="dxa" w:w="3479"/>
          </w:tcPr>
          <w:p>
            <w:pPr>
              <w:spacing w:after="0"/>
              <w:jc w:val="left"/>
            </w:pPr>
            <w:r/>
            <w:r>
              <w:rPr>
                <w:rFonts w:ascii="Calibri" w:hAnsi="Calibri"/>
                <w:b w:val="0"/>
                <w:color w:val="1A1A1A"/>
                <w:sz w:val="24"/>
              </w:rPr>
              <w:t>Rascunho</w:t>
            </w:r>
          </w:p>
        </w:tc>
        <w:tc>
          <w:tcPr>
            <w:tcW w:type="dxa" w:w="2809"/>
          </w:tcPr>
          <w:p>
            <w:pPr>
              <w:spacing w:after="0"/>
              <w:jc w:val="left"/>
            </w:pPr>
            <w:r/>
            <w:r>
              <w:rPr>
                <w:rFonts w:ascii="Calibri" w:hAnsi="Calibri"/>
                <w:b w:val="0"/>
                <w:color w:val="1A1A1A"/>
                <w:sz w:val="24"/>
              </w:rPr>
              <w:t>Texto em elaboração por responsável designado.</w:t>
            </w:r>
          </w:p>
        </w:tc>
        <w:tc>
          <w:tcPr>
            <w:tcW w:type="dxa" w:w="2784"/>
          </w:tcPr>
          <w:p>
            <w:pPr>
              <w:spacing w:after="0"/>
              <w:jc w:val="left"/>
            </w:pPr>
            <w:r/>
            <w:r>
              <w:rPr>
                <w:rFonts w:ascii="Calibri" w:hAnsi="Calibri"/>
                <w:b w:val="0"/>
                <w:color w:val="1A1A1A"/>
                <w:sz w:val="24"/>
              </w:rPr>
              <w:t>Interna ao subgrupo.</w:t>
            </w:r>
          </w:p>
        </w:tc>
      </w:tr>
      <w:tr>
        <w:trPr>
          <w:cantSplit/>
        </w:trPr>
        <w:tc>
          <w:tcPr>
            <w:tcW w:type="dxa" w:w="3479"/>
            <w:shd w:val="clear" w:color="auto" w:fill="F2F5F8"/>
          </w:tcPr>
          <w:p>
            <w:pPr>
              <w:spacing w:after="0"/>
              <w:jc w:val="left"/>
            </w:pPr>
            <w:r/>
            <w:r>
              <w:rPr>
                <w:rFonts w:ascii="Calibri" w:hAnsi="Calibri"/>
                <w:b w:val="0"/>
                <w:color w:val="1A1A1A"/>
                <w:sz w:val="24"/>
              </w:rPr>
              <w:t>Revisão por par</w:t>
            </w:r>
          </w:p>
        </w:tc>
        <w:tc>
          <w:tcPr>
            <w:tcW w:type="dxa" w:w="2809"/>
            <w:shd w:val="clear" w:color="auto" w:fill="F2F5F8"/>
          </w:tcPr>
          <w:p>
            <w:pPr>
              <w:spacing w:after="0"/>
              <w:jc w:val="left"/>
            </w:pPr>
            <w:r/>
            <w:r>
              <w:rPr>
                <w:rFonts w:ascii="Calibri" w:hAnsi="Calibri"/>
                <w:b w:val="0"/>
                <w:color w:val="1A1A1A"/>
                <w:sz w:val="24"/>
              </w:rPr>
              <w:t>Submetido a revisor que não participou da redação.</w:t>
            </w:r>
          </w:p>
        </w:tc>
        <w:tc>
          <w:tcPr>
            <w:tcW w:type="dxa" w:w="2784"/>
            <w:shd w:val="clear" w:color="auto" w:fill="F2F5F8"/>
          </w:tcPr>
          <w:p>
            <w:pPr>
              <w:spacing w:after="0"/>
              <w:jc w:val="left"/>
            </w:pPr>
            <w:r/>
            <w:r>
              <w:rPr>
                <w:rFonts w:ascii="Calibri" w:hAnsi="Calibri"/>
                <w:b w:val="0"/>
                <w:color w:val="1A1A1A"/>
                <w:sz w:val="24"/>
              </w:rPr>
              <w:t>Interna ao Núcleo.</w:t>
            </w:r>
          </w:p>
        </w:tc>
      </w:tr>
      <w:tr>
        <w:trPr>
          <w:cantSplit/>
        </w:trPr>
        <w:tc>
          <w:tcPr>
            <w:tcW w:type="dxa" w:w="3479"/>
          </w:tcPr>
          <w:p>
            <w:pPr>
              <w:spacing w:after="0"/>
              <w:jc w:val="left"/>
            </w:pPr>
            <w:r/>
            <w:r>
              <w:rPr>
                <w:rFonts w:ascii="Calibri" w:hAnsi="Calibri"/>
                <w:b w:val="0"/>
                <w:color w:val="1A1A1A"/>
                <w:sz w:val="24"/>
              </w:rPr>
              <w:t>Revisão regulatória</w:t>
            </w:r>
          </w:p>
        </w:tc>
        <w:tc>
          <w:tcPr>
            <w:tcW w:type="dxa" w:w="2809"/>
          </w:tcPr>
          <w:p>
            <w:pPr>
              <w:spacing w:after="0"/>
              <w:jc w:val="left"/>
            </w:pPr>
            <w:r/>
            <w:r>
              <w:rPr>
                <w:rFonts w:ascii="Calibri" w:hAnsi="Calibri"/>
                <w:b w:val="0"/>
                <w:color w:val="1A1A1A"/>
                <w:sz w:val="24"/>
              </w:rPr>
              <w:t>Conferência de vigência normativa e datas de consulta.</w:t>
            </w:r>
          </w:p>
        </w:tc>
        <w:tc>
          <w:tcPr>
            <w:tcW w:type="dxa" w:w="2784"/>
          </w:tcPr>
          <w:p>
            <w:pPr>
              <w:spacing w:after="0"/>
              <w:jc w:val="left"/>
            </w:pPr>
            <w:r/>
            <w:r>
              <w:rPr>
                <w:rFonts w:ascii="Calibri" w:hAnsi="Calibri"/>
                <w:b w:val="0"/>
                <w:color w:val="1A1A1A"/>
                <w:sz w:val="24"/>
              </w:rPr>
              <w:t>Interna ao Núcleo.</w:t>
            </w:r>
          </w:p>
        </w:tc>
      </w:tr>
      <w:tr>
        <w:trPr>
          <w:cantSplit/>
        </w:trPr>
        <w:tc>
          <w:tcPr>
            <w:tcW w:type="dxa" w:w="3479"/>
            <w:shd w:val="clear" w:color="auto" w:fill="F2F5F8"/>
          </w:tcPr>
          <w:p>
            <w:pPr>
              <w:spacing w:after="0"/>
              <w:jc w:val="left"/>
            </w:pPr>
            <w:r/>
            <w:r>
              <w:rPr>
                <w:rFonts w:ascii="Calibri" w:hAnsi="Calibri"/>
                <w:b w:val="0"/>
                <w:color w:val="1A1A1A"/>
                <w:sz w:val="24"/>
              </w:rPr>
              <w:t>Aprovado internamente</w:t>
            </w:r>
          </w:p>
        </w:tc>
        <w:tc>
          <w:tcPr>
            <w:tcW w:type="dxa" w:w="2809"/>
            <w:shd w:val="clear" w:color="auto" w:fill="F2F5F8"/>
          </w:tcPr>
          <w:p>
            <w:pPr>
              <w:spacing w:after="0"/>
              <w:jc w:val="left"/>
            </w:pPr>
            <w:r/>
            <w:r>
              <w:rPr>
                <w:rFonts w:ascii="Calibri" w:hAnsi="Calibri"/>
                <w:b w:val="0"/>
                <w:color w:val="1A1A1A"/>
                <w:sz w:val="24"/>
              </w:rPr>
              <w:t>Deliberado em reunião, com registro em ata.</w:t>
            </w:r>
          </w:p>
        </w:tc>
        <w:tc>
          <w:tcPr>
            <w:tcW w:type="dxa" w:w="2784"/>
            <w:shd w:val="clear" w:color="auto" w:fill="F2F5F8"/>
          </w:tcPr>
          <w:p>
            <w:pPr>
              <w:spacing w:after="0"/>
              <w:jc w:val="left"/>
            </w:pPr>
            <w:r/>
            <w:r>
              <w:rPr>
                <w:rFonts w:ascii="Calibri" w:hAnsi="Calibri"/>
                <w:b w:val="0"/>
                <w:color w:val="1A1A1A"/>
                <w:sz w:val="24"/>
              </w:rPr>
              <w:t>Interna à Câmara Técnica.</w:t>
            </w:r>
          </w:p>
        </w:tc>
      </w:tr>
      <w:tr>
        <w:trPr>
          <w:cantSplit/>
        </w:trPr>
        <w:tc>
          <w:tcPr>
            <w:tcW w:type="dxa" w:w="3479"/>
          </w:tcPr>
          <w:p>
            <w:pPr>
              <w:spacing w:after="0"/>
              <w:jc w:val="left"/>
            </w:pPr>
            <w:r/>
            <w:r>
              <w:rPr>
                <w:rFonts w:ascii="Calibri" w:hAnsi="Calibri"/>
                <w:b w:val="0"/>
                <w:color w:val="1A1A1A"/>
                <w:sz w:val="24"/>
              </w:rPr>
              <w:t>Submetido à Diretoria</w:t>
            </w:r>
          </w:p>
        </w:tc>
        <w:tc>
          <w:tcPr>
            <w:tcW w:type="dxa" w:w="2809"/>
          </w:tcPr>
          <w:p>
            <w:pPr>
              <w:spacing w:after="0"/>
              <w:jc w:val="left"/>
            </w:pPr>
            <w:r/>
            <w:r>
              <w:rPr>
                <w:rFonts w:ascii="Calibri" w:hAnsi="Calibri"/>
                <w:b w:val="0"/>
                <w:color w:val="1A1A1A"/>
                <w:sz w:val="24"/>
              </w:rPr>
              <w:t>Protocolado para validação institucional.</w:t>
            </w:r>
          </w:p>
        </w:tc>
        <w:tc>
          <w:tcPr>
            <w:tcW w:type="dxa" w:w="2784"/>
          </w:tcPr>
          <w:p>
            <w:pPr>
              <w:spacing w:after="0"/>
              <w:jc w:val="left"/>
            </w:pPr>
            <w:r/>
            <w:r>
              <w:rPr>
                <w:rFonts w:ascii="Calibri" w:hAnsi="Calibri"/>
                <w:b w:val="0"/>
                <w:color w:val="1A1A1A"/>
                <w:sz w:val="24"/>
              </w:rPr>
              <w:t>Institucional.</w:t>
            </w:r>
          </w:p>
        </w:tc>
      </w:tr>
      <w:tr>
        <w:trPr>
          <w:cantSplit/>
        </w:trPr>
        <w:tc>
          <w:tcPr>
            <w:tcW w:type="dxa" w:w="3479"/>
            <w:shd w:val="clear" w:color="auto" w:fill="F2F5F8"/>
          </w:tcPr>
          <w:p>
            <w:pPr>
              <w:spacing w:after="0"/>
              <w:jc w:val="left"/>
            </w:pPr>
            <w:r/>
            <w:r>
              <w:rPr>
                <w:rFonts w:ascii="Calibri" w:hAnsi="Calibri"/>
                <w:b w:val="0"/>
                <w:color w:val="1A1A1A"/>
                <w:sz w:val="24"/>
              </w:rPr>
              <w:t>Aprovado institucionalmente</w:t>
            </w:r>
          </w:p>
        </w:tc>
        <w:tc>
          <w:tcPr>
            <w:tcW w:type="dxa" w:w="2809"/>
            <w:shd w:val="clear" w:color="auto" w:fill="F2F5F8"/>
          </w:tcPr>
          <w:p>
            <w:pPr>
              <w:spacing w:after="0"/>
              <w:jc w:val="left"/>
            </w:pPr>
            <w:r/>
            <w:r>
              <w:rPr>
                <w:rFonts w:ascii="Calibri" w:hAnsi="Calibri"/>
                <w:b w:val="0"/>
                <w:color w:val="1A1A1A"/>
                <w:sz w:val="24"/>
              </w:rPr>
              <w:t>Validado pela Diretoria Executiva.</w:t>
            </w:r>
          </w:p>
        </w:tc>
        <w:tc>
          <w:tcPr>
            <w:tcW w:type="dxa" w:w="2784"/>
            <w:shd w:val="clear" w:color="auto" w:fill="F2F5F8"/>
          </w:tcPr>
          <w:p>
            <w:pPr>
              <w:spacing w:after="0"/>
              <w:jc w:val="left"/>
            </w:pPr>
            <w:r/>
            <w:r>
              <w:rPr>
                <w:rFonts w:ascii="Calibri" w:hAnsi="Calibri"/>
                <w:b w:val="0"/>
                <w:color w:val="1A1A1A"/>
                <w:sz w:val="24"/>
              </w:rPr>
              <w:t>Conforme decisão da Diretoria.</w:t>
            </w:r>
          </w:p>
        </w:tc>
      </w:tr>
    </w:tbl>
    <w:p>
      <w:pPr>
        <w:keepNext/>
        <w:spacing w:before="240" w:after="80"/>
        <w:jc w:val="left"/>
      </w:pPr>
      <w:r>
        <w:rPr>
          <w:rFonts w:ascii="Calibri" w:hAnsi="Calibri"/>
          <w:b/>
          <w:color w:val="143C64"/>
          <w:sz w:val="26"/>
        </w:rPr>
        <w:t>7.1  Definição de pronto para qualquer entrega</w:t>
      </w:r>
    </w:p>
    <w:p>
      <w:pPr>
        <w:spacing w:after="120"/>
        <w:jc w:val="both"/>
      </w:pPr>
      <w:r>
        <w:rPr>
          <w:rFonts w:ascii="Calibri" w:hAnsi="Calibri"/>
          <w:b w:val="0"/>
          <w:i w:val="0"/>
          <w:color w:val="1A1A1A"/>
          <w:sz w:val="24"/>
        </w:rPr>
        <w:t>Um documento só é considerado pronto quando todos os itens abaixo forem verificáveis. A lista funciona como critério de aceite, e não como aspiração.</w:t>
      </w:r>
    </w:p>
    <w:p>
      <w:pPr>
        <w:pStyle w:val="ListNumber"/>
        <w:spacing w:after="60"/>
        <w:ind w:left="397"/>
        <w:jc w:val="both"/>
      </w:pPr>
      <w:r>
        <w:rPr>
          <w:rFonts w:ascii="Calibri" w:hAnsi="Calibri"/>
          <w:color w:val="1A1A1A"/>
          <w:sz w:val="24"/>
        </w:rPr>
        <w:t>Escopo e público definidos de forma explícita.</w:t>
      </w:r>
    </w:p>
    <w:p>
      <w:pPr>
        <w:pStyle w:val="ListNumber"/>
        <w:spacing w:after="60"/>
        <w:ind w:left="397"/>
        <w:jc w:val="both"/>
      </w:pPr>
      <w:r>
        <w:rPr>
          <w:rFonts w:ascii="Calibri" w:hAnsi="Calibri"/>
          <w:color w:val="1A1A1A"/>
          <w:sz w:val="24"/>
        </w:rPr>
        <w:t>Fontes e estratégia de busca registradas, com data de consulta.</w:t>
      </w:r>
    </w:p>
    <w:p>
      <w:pPr>
        <w:pStyle w:val="ListNumber"/>
        <w:spacing w:after="60"/>
        <w:ind w:left="397"/>
        <w:jc w:val="both"/>
      </w:pPr>
      <w:r>
        <w:rPr>
          <w:rFonts w:ascii="Calibri" w:hAnsi="Calibri"/>
          <w:color w:val="1A1A1A"/>
          <w:sz w:val="24"/>
        </w:rPr>
        <w:t>Situação regulatória consultada e datada.</w:t>
      </w:r>
    </w:p>
    <w:p>
      <w:pPr>
        <w:pStyle w:val="ListNumber"/>
        <w:spacing w:after="60"/>
        <w:ind w:left="397"/>
        <w:jc w:val="both"/>
      </w:pPr>
      <w:r>
        <w:rPr>
          <w:rFonts w:ascii="Calibri" w:hAnsi="Calibri"/>
          <w:color w:val="1A1A1A"/>
          <w:sz w:val="24"/>
        </w:rPr>
        <w:t>Recomendações proporcionais à qualidade da evidência que as sustenta.</w:t>
      </w:r>
    </w:p>
    <w:p>
      <w:pPr>
        <w:pStyle w:val="ListNumber"/>
        <w:spacing w:after="60"/>
        <w:ind w:left="397"/>
        <w:jc w:val="both"/>
      </w:pPr>
      <w:r>
        <w:rPr>
          <w:rFonts w:ascii="Calibri" w:hAnsi="Calibri"/>
          <w:color w:val="1A1A1A"/>
          <w:sz w:val="24"/>
        </w:rPr>
        <w:t>Riscos, limitações e condições de não aplicabilidade explicitados.</w:t>
      </w:r>
    </w:p>
    <w:p>
      <w:pPr>
        <w:pStyle w:val="ListNumber"/>
        <w:spacing w:after="60"/>
        <w:ind w:left="397"/>
        <w:jc w:val="both"/>
      </w:pPr>
      <w:r>
        <w:rPr>
          <w:rFonts w:ascii="Calibri" w:hAnsi="Calibri"/>
          <w:color w:val="1A1A1A"/>
          <w:sz w:val="24"/>
        </w:rPr>
        <w:t>Conflitos de interesse declarados por todos os participantes da redação.</w:t>
      </w:r>
    </w:p>
    <w:p>
      <w:pPr>
        <w:pStyle w:val="ListNumber"/>
        <w:spacing w:after="60"/>
        <w:ind w:left="397"/>
        <w:jc w:val="both"/>
      </w:pPr>
      <w:r>
        <w:rPr>
          <w:rFonts w:ascii="Calibri" w:hAnsi="Calibri"/>
          <w:color w:val="1A1A1A"/>
          <w:sz w:val="24"/>
        </w:rPr>
        <w:t>Revisão por par concluída e registrada.</w:t>
      </w:r>
    </w:p>
    <w:p>
      <w:pPr>
        <w:pStyle w:val="ListNumber"/>
        <w:spacing w:after="60"/>
        <w:ind w:left="397"/>
        <w:jc w:val="both"/>
      </w:pPr>
      <w:r>
        <w:rPr>
          <w:rFonts w:ascii="Calibri" w:hAnsi="Calibri"/>
          <w:color w:val="1A1A1A"/>
          <w:sz w:val="24"/>
        </w:rPr>
        <w:t>Versão, responsável, data de emissão e data da próxima revisão registradas.</w:t>
      </w:r>
    </w:p>
    <w:p>
      <w:pPr>
        <w:keepNext/>
        <w:spacing w:before="360" w:after="160"/>
        <w:jc w:val="left"/>
        <w:pBdr>
          <w:bottom w:val="single" w:sz="8" w:space="4" w:color="143C64"/>
        </w:pBdr>
      </w:pPr>
      <w:r>
        <w:rPr>
          <w:rFonts w:ascii="Calibri" w:hAnsi="Calibri"/>
          <w:b/>
          <w:color w:val="143C64"/>
          <w:sz w:val="30"/>
        </w:rPr>
        <w:t>8  Riscos do Programa e medidas de mitigação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365"/>
        <w:gridCol w:w="2850"/>
        <w:gridCol w:w="2858"/>
      </w:tblGrid>
      <w:tr>
        <w:trPr>
          <w:cantSplit/>
          <w:tblHeader/>
        </w:trPr>
        <w:tc>
          <w:tcPr>
            <w:tcW w:type="dxa" w:w="3365"/>
            <w:shd w:val="clear" w:color="auto" w:fill="143C64"/>
          </w:tcPr>
          <w:p>
            <w:pPr>
              <w:spacing w:after="0"/>
              <w:jc w:val="left"/>
            </w:pPr>
            <w:r/>
            <w:r>
              <w:rPr>
                <w:rFonts w:ascii="Calibri" w:hAnsi="Calibri"/>
                <w:b/>
                <w:color w:val="FFFFFF"/>
                <w:sz w:val="24"/>
              </w:rPr>
              <w:t>Risco</w:t>
            </w:r>
          </w:p>
        </w:tc>
        <w:tc>
          <w:tcPr>
            <w:tcW w:type="dxa" w:w="2850"/>
            <w:shd w:val="clear" w:color="auto" w:fill="143C64"/>
          </w:tcPr>
          <w:p>
            <w:pPr>
              <w:spacing w:after="0"/>
              <w:jc w:val="left"/>
            </w:pPr>
            <w:r/>
            <w:r>
              <w:rPr>
                <w:rFonts w:ascii="Calibri" w:hAnsi="Calibri"/>
                <w:b/>
                <w:color w:val="FFFFFF"/>
                <w:sz w:val="24"/>
              </w:rPr>
              <w:t>Por que importa</w:t>
            </w:r>
          </w:p>
        </w:tc>
        <w:tc>
          <w:tcPr>
            <w:tcW w:type="dxa" w:w="2858"/>
            <w:shd w:val="clear" w:color="auto" w:fill="143C64"/>
          </w:tcPr>
          <w:p>
            <w:pPr>
              <w:spacing w:after="0"/>
              <w:jc w:val="left"/>
            </w:pPr>
            <w:r/>
            <w:r>
              <w:rPr>
                <w:rFonts w:ascii="Calibri" w:hAnsi="Calibri"/>
                <w:b/>
                <w:color w:val="FFFFFF"/>
                <w:sz w:val="24"/>
              </w:rPr>
              <w:t>Medida de mitigação</w:t>
            </w:r>
          </w:p>
        </w:tc>
      </w:tr>
      <w:tr>
        <w:trPr>
          <w:cantSplit/>
        </w:trPr>
        <w:tc>
          <w:tcPr>
            <w:tcW w:type="dxa" w:w="3365"/>
          </w:tcPr>
          <w:p>
            <w:pPr>
              <w:spacing w:after="0"/>
              <w:jc w:val="left"/>
            </w:pPr>
            <w:r/>
            <w:r>
              <w:rPr>
                <w:rFonts w:ascii="Calibri" w:hAnsi="Calibri"/>
                <w:b w:val="0"/>
                <w:color w:val="1A1A1A"/>
                <w:sz w:val="24"/>
              </w:rPr>
              <w:t>Escopo excessivo para a capacidade do grupo</w:t>
            </w:r>
          </w:p>
        </w:tc>
        <w:tc>
          <w:tcPr>
            <w:tcW w:type="dxa" w:w="2850"/>
          </w:tcPr>
          <w:p>
            <w:pPr>
              <w:spacing w:after="0"/>
              <w:jc w:val="left"/>
            </w:pPr>
            <w:r/>
            <w:r>
              <w:rPr>
                <w:rFonts w:ascii="Calibri" w:hAnsi="Calibri"/>
                <w:b w:val="0"/>
                <w:color w:val="1A1A1A"/>
                <w:sz w:val="24"/>
              </w:rPr>
              <w:t>Compromete a qualidade de todos os produtos ao mesmo tempo.</w:t>
            </w:r>
          </w:p>
        </w:tc>
        <w:tc>
          <w:tcPr>
            <w:tcW w:type="dxa" w:w="2858"/>
          </w:tcPr>
          <w:p>
            <w:pPr>
              <w:spacing w:after="0"/>
              <w:jc w:val="left"/>
            </w:pPr>
            <w:r/>
            <w:r>
              <w:rPr>
                <w:rFonts w:ascii="Calibri" w:hAnsi="Calibri"/>
                <w:b w:val="0"/>
                <w:color w:val="1A1A1A"/>
                <w:sz w:val="24"/>
              </w:rPr>
              <w:t>Reduzir extensão antes de reduzir rigor. Fluxograma, checklist e validação técnica não são sacrificáveis.</w:t>
            </w:r>
          </w:p>
        </w:tc>
      </w:tr>
      <w:tr>
        <w:trPr>
          <w:cantSplit/>
        </w:trPr>
        <w:tc>
          <w:tcPr>
            <w:tcW w:type="dxa" w:w="3365"/>
            <w:shd w:val="clear" w:color="auto" w:fill="F2F5F8"/>
          </w:tcPr>
          <w:p>
            <w:pPr>
              <w:spacing w:after="0"/>
              <w:jc w:val="left"/>
            </w:pPr>
            <w:r/>
            <w:r>
              <w:rPr>
                <w:rFonts w:ascii="Calibri" w:hAnsi="Calibri"/>
                <w:b w:val="0"/>
                <w:color w:val="1A1A1A"/>
                <w:sz w:val="24"/>
              </w:rPr>
              <w:t>Norma citada desatualizada ou revogada</w:t>
            </w:r>
          </w:p>
        </w:tc>
        <w:tc>
          <w:tcPr>
            <w:tcW w:type="dxa" w:w="2850"/>
            <w:shd w:val="clear" w:color="auto" w:fill="F2F5F8"/>
          </w:tcPr>
          <w:p>
            <w:pPr>
              <w:spacing w:after="0"/>
              <w:jc w:val="left"/>
            </w:pPr>
            <w:r/>
            <w:r>
              <w:rPr>
                <w:rFonts w:ascii="Calibri" w:hAnsi="Calibri"/>
                <w:b w:val="0"/>
                <w:color w:val="1A1A1A"/>
                <w:sz w:val="24"/>
              </w:rPr>
              <w:t>Fragiliza o documento inteiro perante leitura crítica externa.</w:t>
            </w:r>
          </w:p>
        </w:tc>
        <w:tc>
          <w:tcPr>
            <w:tcW w:type="dxa" w:w="2858"/>
            <w:shd w:val="clear" w:color="auto" w:fill="F2F5F8"/>
          </w:tcPr>
          <w:p>
            <w:pPr>
              <w:spacing w:after="0"/>
              <w:jc w:val="left"/>
            </w:pPr>
            <w:r/>
            <w:r>
              <w:rPr>
                <w:rFonts w:ascii="Calibri" w:hAnsi="Calibri"/>
                <w:b w:val="0"/>
                <w:color w:val="1A1A1A"/>
                <w:sz w:val="24"/>
              </w:rPr>
              <w:t>Data de consulta obrigatória em cada citação e revisão regulatória antes de cada versão.</w:t>
            </w:r>
          </w:p>
        </w:tc>
      </w:tr>
      <w:tr>
        <w:trPr>
          <w:cantSplit/>
        </w:trPr>
        <w:tc>
          <w:tcPr>
            <w:tcW w:type="dxa" w:w="3365"/>
          </w:tcPr>
          <w:p>
            <w:pPr>
              <w:spacing w:after="0"/>
              <w:jc w:val="left"/>
            </w:pPr>
            <w:r/>
            <w:r>
              <w:rPr>
                <w:rFonts w:ascii="Calibri" w:hAnsi="Calibri"/>
                <w:b w:val="0"/>
                <w:color w:val="1A1A1A"/>
                <w:sz w:val="24"/>
              </w:rPr>
              <w:t>Recomendação categórica com evidência limitada</w:t>
            </w:r>
          </w:p>
        </w:tc>
        <w:tc>
          <w:tcPr>
            <w:tcW w:type="dxa" w:w="2850"/>
          </w:tcPr>
          <w:p>
            <w:pPr>
              <w:spacing w:after="0"/>
              <w:jc w:val="left"/>
            </w:pPr>
            <w:r/>
            <w:r>
              <w:rPr>
                <w:rFonts w:ascii="Calibri" w:hAnsi="Calibri"/>
                <w:b w:val="0"/>
                <w:color w:val="1A1A1A"/>
                <w:sz w:val="24"/>
              </w:rPr>
              <w:t>Cria efeito normativo indevido e expõe o Conselho.</w:t>
            </w:r>
          </w:p>
        </w:tc>
        <w:tc>
          <w:tcPr>
            <w:tcW w:type="dxa" w:w="2858"/>
          </w:tcPr>
          <w:p>
            <w:pPr>
              <w:spacing w:after="0"/>
              <w:jc w:val="left"/>
            </w:pPr>
            <w:r/>
            <w:r>
              <w:rPr>
                <w:rFonts w:ascii="Calibri" w:hAnsi="Calibri"/>
                <w:b w:val="0"/>
                <w:color w:val="1A1A1A"/>
                <w:sz w:val="24"/>
              </w:rPr>
              <w:t>Legenda de sustentação obrigatória e vedação de linguagem superlativa.</w:t>
            </w:r>
          </w:p>
        </w:tc>
      </w:tr>
      <w:tr>
        <w:trPr>
          <w:cantSplit/>
        </w:trPr>
        <w:tc>
          <w:tcPr>
            <w:tcW w:type="dxa" w:w="3365"/>
            <w:shd w:val="clear" w:color="auto" w:fill="F2F5F8"/>
          </w:tcPr>
          <w:p>
            <w:pPr>
              <w:spacing w:after="0"/>
              <w:jc w:val="left"/>
            </w:pPr>
            <w:r/>
            <w:r>
              <w:rPr>
                <w:rFonts w:ascii="Calibri" w:hAnsi="Calibri"/>
                <w:b w:val="0"/>
                <w:color w:val="1A1A1A"/>
                <w:sz w:val="24"/>
              </w:rPr>
              <w:t>Indisponibilidade de dados estaduais</w:t>
            </w:r>
          </w:p>
        </w:tc>
        <w:tc>
          <w:tcPr>
            <w:tcW w:type="dxa" w:w="2850"/>
            <w:shd w:val="clear" w:color="auto" w:fill="F2F5F8"/>
          </w:tcPr>
          <w:p>
            <w:pPr>
              <w:spacing w:after="0"/>
              <w:jc w:val="left"/>
            </w:pPr>
            <w:r/>
            <w:r>
              <w:rPr>
                <w:rFonts w:ascii="Calibri" w:hAnsi="Calibri"/>
                <w:b w:val="0"/>
                <w:color w:val="1A1A1A"/>
                <w:sz w:val="24"/>
              </w:rPr>
              <w:t>Pode induzir estimativa sem base.</w:t>
            </w:r>
          </w:p>
        </w:tc>
        <w:tc>
          <w:tcPr>
            <w:tcW w:type="dxa" w:w="2858"/>
            <w:shd w:val="clear" w:color="auto" w:fill="F2F5F8"/>
          </w:tcPr>
          <w:p>
            <w:pPr>
              <w:spacing w:after="0"/>
              <w:jc w:val="left"/>
            </w:pPr>
            <w:r/>
            <w:r>
              <w:rPr>
                <w:rFonts w:ascii="Calibri" w:hAnsi="Calibri"/>
                <w:b w:val="0"/>
                <w:color w:val="1A1A1A"/>
                <w:sz w:val="24"/>
              </w:rPr>
              <w:t>Registrar a lacuna como lacuna e protocolar solicitação formal. Não apresentar percentuais estaduais sem coleta autorizada.</w:t>
            </w:r>
          </w:p>
        </w:tc>
      </w:tr>
      <w:tr>
        <w:trPr>
          <w:cantSplit/>
        </w:trPr>
        <w:tc>
          <w:tcPr>
            <w:tcW w:type="dxa" w:w="3365"/>
          </w:tcPr>
          <w:p>
            <w:pPr>
              <w:spacing w:after="0"/>
              <w:jc w:val="left"/>
            </w:pPr>
            <w:r/>
            <w:r>
              <w:rPr>
                <w:rFonts w:ascii="Calibri" w:hAnsi="Calibri"/>
                <w:b w:val="0"/>
                <w:color w:val="1A1A1A"/>
                <w:sz w:val="24"/>
              </w:rPr>
              <w:t>Pressão comercial sobre a avaliação tecnológica</w:t>
            </w:r>
          </w:p>
        </w:tc>
        <w:tc>
          <w:tcPr>
            <w:tcW w:type="dxa" w:w="2850"/>
          </w:tcPr>
          <w:p>
            <w:pPr>
              <w:spacing w:after="0"/>
              <w:jc w:val="left"/>
            </w:pPr>
            <w:r/>
            <w:r>
              <w:rPr>
                <w:rFonts w:ascii="Calibri" w:hAnsi="Calibri"/>
                <w:b w:val="0"/>
                <w:color w:val="1A1A1A"/>
                <w:sz w:val="24"/>
              </w:rPr>
              <w:t>Distorce a análise e compromete a confiança institucional.</w:t>
            </w:r>
          </w:p>
        </w:tc>
        <w:tc>
          <w:tcPr>
            <w:tcW w:type="dxa" w:w="2858"/>
          </w:tcPr>
          <w:p>
            <w:pPr>
              <w:spacing w:after="0"/>
              <w:jc w:val="left"/>
            </w:pPr>
            <w:r/>
            <w:r>
              <w:rPr>
                <w:rFonts w:ascii="Calibri" w:hAnsi="Calibri"/>
                <w:b w:val="0"/>
                <w:color w:val="1A1A1A"/>
                <w:sz w:val="24"/>
              </w:rPr>
              <w:t>Declaração de conflito por entrega, vedação de menção a marca e revisão por par.</w:t>
            </w:r>
          </w:p>
        </w:tc>
      </w:tr>
      <w:tr>
        <w:trPr>
          <w:cantSplit/>
        </w:trPr>
        <w:tc>
          <w:tcPr>
            <w:tcW w:type="dxa" w:w="3365"/>
            <w:shd w:val="clear" w:color="auto" w:fill="F2F5F8"/>
          </w:tcPr>
          <w:p>
            <w:pPr>
              <w:spacing w:after="0"/>
              <w:jc w:val="left"/>
            </w:pPr>
            <w:r/>
            <w:r>
              <w:rPr>
                <w:rFonts w:ascii="Calibri" w:hAnsi="Calibri"/>
                <w:b w:val="0"/>
                <w:color w:val="1A1A1A"/>
                <w:sz w:val="24"/>
              </w:rPr>
              <w:t>Alteração do cenário jurídico durante o ciclo</w:t>
            </w:r>
          </w:p>
        </w:tc>
        <w:tc>
          <w:tcPr>
            <w:tcW w:type="dxa" w:w="2850"/>
            <w:shd w:val="clear" w:color="auto" w:fill="F2F5F8"/>
          </w:tcPr>
          <w:p>
            <w:pPr>
              <w:spacing w:after="0"/>
              <w:jc w:val="left"/>
            </w:pPr>
            <w:r/>
            <w:r>
              <w:rPr>
                <w:rFonts w:ascii="Calibri" w:hAnsi="Calibri"/>
                <w:b w:val="0"/>
                <w:color w:val="1A1A1A"/>
                <w:sz w:val="24"/>
              </w:rPr>
              <w:t>Pode tornar obsoleta a fundamentação de competência.</w:t>
            </w:r>
          </w:p>
        </w:tc>
        <w:tc>
          <w:tcPr>
            <w:tcW w:type="dxa" w:w="2858"/>
            <w:shd w:val="clear" w:color="auto" w:fill="F2F5F8"/>
          </w:tcPr>
          <w:p>
            <w:pPr>
              <w:spacing w:after="0"/>
              <w:jc w:val="left"/>
            </w:pPr>
            <w:r/>
            <w:r>
              <w:rPr>
                <w:rFonts w:ascii="Calibri" w:hAnsi="Calibri"/>
                <w:b w:val="0"/>
                <w:color w:val="1A1A1A"/>
                <w:sz w:val="24"/>
              </w:rPr>
              <w:t>Ancoragem sanitária do pacote e registro datado da situação contenciosa.</w:t>
            </w:r>
          </w:p>
        </w:tc>
      </w:tr>
    </w:tbl>
    <w:p>
      <w:pPr>
        <w:keepNext/>
        <w:spacing w:before="360" w:after="160"/>
        <w:jc w:val="left"/>
        <w:pBdr>
          <w:bottom w:val="single" w:sz="8" w:space="4" w:color="143C64"/>
        </w:pBdr>
      </w:pPr>
      <w:r>
        <w:rPr>
          <w:rFonts w:ascii="Calibri" w:hAnsi="Calibri"/>
          <w:b/>
          <w:color w:val="143C64"/>
          <w:sz w:val="30"/>
        </w:rPr>
        <w:t>Governança e limites institucionais</w:t>
      </w:r>
    </w:p>
    <w:p>
      <w:pPr>
        <w:spacing w:after="120"/>
        <w:jc w:val="both"/>
      </w:pPr>
      <w:r>
        <w:rPr>
          <w:rFonts w:ascii="Calibri" w:hAnsi="Calibri"/>
          <w:b w:val="0"/>
          <w:i w:val="0"/>
          <w:color w:val="1A1A1A"/>
          <w:sz w:val="24"/>
        </w:rPr>
        <w:t>O Núcleo 5 atua em caráter técnico-científico e consultivo. Seus produtos organizam evidências, critérios, fluxos e instrumentos de segurança, mas não substituem atos normativos, fiscalização, julgamento ético, decisão clínica individual ou competências da Diretoria Executiva e do Plenário do CRO-MG.</w:t>
      </w:r>
    </w:p>
    <w:p>
      <w:pPr>
        <w:pStyle w:val="ListBullet"/>
        <w:spacing w:after="60"/>
        <w:ind w:left="397"/>
        <w:jc w:val="both"/>
      </w:pPr>
      <w:r>
        <w:rPr>
          <w:rFonts w:ascii="Calibri" w:hAnsi="Calibri"/>
          <w:color w:val="1A1A1A"/>
          <w:sz w:val="24"/>
        </w:rPr>
        <w:t>Não apresentar opinião individual como posição oficial do CRO-MG.</w:t>
      </w:r>
    </w:p>
    <w:p>
      <w:pPr>
        <w:pStyle w:val="ListBullet"/>
        <w:spacing w:after="60"/>
        <w:ind w:left="397"/>
        <w:jc w:val="both"/>
      </w:pPr>
      <w:r>
        <w:rPr>
          <w:rFonts w:ascii="Calibri" w:hAnsi="Calibri"/>
          <w:color w:val="1A1A1A"/>
          <w:sz w:val="24"/>
        </w:rPr>
        <w:t>Não promover marcas, fabricantes, empresas ou interesses comerciais.</w:t>
      </w:r>
    </w:p>
    <w:p>
      <w:pPr>
        <w:pStyle w:val="ListBullet"/>
        <w:spacing w:after="60"/>
        <w:ind w:left="397"/>
        <w:jc w:val="both"/>
      </w:pPr>
      <w:r>
        <w:rPr>
          <w:rFonts w:ascii="Calibri" w:hAnsi="Calibri"/>
          <w:color w:val="1A1A1A"/>
          <w:sz w:val="24"/>
        </w:rPr>
        <w:t>Declarar conflitos de interesse antes de qualquer avaliação tecnológica.</w:t>
      </w:r>
    </w:p>
    <w:p>
      <w:pPr>
        <w:pStyle w:val="ListBullet"/>
        <w:spacing w:after="60"/>
        <w:ind w:left="397"/>
        <w:jc w:val="both"/>
      </w:pPr>
      <w:r>
        <w:rPr>
          <w:rFonts w:ascii="Calibri" w:hAnsi="Calibri"/>
          <w:color w:val="1A1A1A"/>
          <w:sz w:val="24"/>
        </w:rPr>
        <w:t>Distinguir norma vigente, evidência científica, recomendação técnica e proposta pendente de deliberação.</w:t>
      </w:r>
    </w:p>
    <w:p>
      <w:pPr>
        <w:pStyle w:val="ListBullet"/>
        <w:spacing w:after="60"/>
        <w:ind w:left="397"/>
        <w:jc w:val="both"/>
      </w:pPr>
      <w:r>
        <w:rPr>
          <w:rFonts w:ascii="Calibri" w:hAnsi="Calibri"/>
          <w:color w:val="1A1A1A"/>
          <w:sz w:val="24"/>
        </w:rPr>
        <w:t>Não divulgar externamente documentos antes do fluxo institucional de revisão e aprovação.</w:t>
      </w:r>
    </w:p>
    <w:p>
      <w:pPr>
        <w:pStyle w:val="ListBullet"/>
        <w:spacing w:after="60"/>
        <w:ind w:left="397"/>
        <w:jc w:val="both"/>
      </w:pPr>
      <w:r>
        <w:rPr>
          <w:rFonts w:ascii="Calibri" w:hAnsi="Calibri"/>
          <w:color w:val="1A1A1A"/>
          <w:sz w:val="24"/>
        </w:rPr>
        <w:t>Não compartilhar dados identificáveis de pacientes ou de profissionais sem finalidade, base legal e governança adequadas.</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Condição de uso</w:t>
            </w:r>
          </w:p>
          <w:p>
            <w:pPr>
              <w:spacing w:after="0"/>
              <w:jc w:val="both"/>
            </w:pPr>
            <w:r>
              <w:rPr>
                <w:rFonts w:ascii="Calibri" w:hAnsi="Calibri"/>
                <w:color w:val="1A1A1A"/>
                <w:sz w:val="24"/>
              </w:rPr>
              <w:t>Este documento é instrumento de trabalho do Núcleo 5. Não constitui norma, parecer vinculante, autorização de tecnologia, aval de produto comercial nem substituto da avaliação clínica individual. Sua eventual publicação externa depende de validação da Diretoria Executiva do CRO-MG.</w:t>
            </w:r>
          </w:p>
        </w:tc>
      </w:tr>
    </w:tbl>
    <w:p>
      <w:pPr>
        <w:spacing w:after="80"/>
      </w:pPr>
    </w:p>
    <w:p>
      <w:pPr>
        <w:keepNext/>
        <w:spacing w:before="360" w:after="160"/>
        <w:jc w:val="left"/>
        <w:pBdr>
          <w:bottom w:val="single" w:sz="8" w:space="4" w:color="143C64"/>
        </w:pBdr>
      </w:pPr>
      <w:r>
        <w:rPr>
          <w:rFonts w:ascii="Calibri" w:hAnsi="Calibri"/>
          <w:b/>
          <w:color w:val="143C64"/>
          <w:sz w:val="30"/>
        </w:rPr>
        <w:t>Referências e bases documentais</w:t>
      </w:r>
    </w:p>
    <w:p>
      <w:pPr>
        <w:keepNext/>
        <w:spacing w:before="240" w:after="80"/>
        <w:jc w:val="left"/>
      </w:pPr>
      <w:r>
        <w:rPr>
          <w:rFonts w:ascii="Calibri" w:hAnsi="Calibri"/>
          <w:b/>
          <w:color w:val="143C64"/>
          <w:sz w:val="26"/>
        </w:rPr>
        <w:t>Base normativa</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2138"/>
        <w:gridCol w:w="3092"/>
        <w:gridCol w:w="3842"/>
      </w:tblGrid>
      <w:tr>
        <w:trPr>
          <w:cantSplit/>
          <w:tblHeader/>
        </w:trPr>
        <w:tc>
          <w:tcPr>
            <w:tcW w:type="dxa" w:w="2138"/>
            <w:shd w:val="clear" w:color="auto" w:fill="143C64"/>
          </w:tcPr>
          <w:p>
            <w:pPr>
              <w:spacing w:after="0"/>
              <w:jc w:val="left"/>
            </w:pPr>
            <w:r/>
            <w:r>
              <w:rPr>
                <w:rFonts w:ascii="Calibri" w:hAnsi="Calibri"/>
                <w:b/>
                <w:color w:val="FFFFFF"/>
                <w:sz w:val="24"/>
              </w:rPr>
              <w:t>Ato</w:t>
            </w:r>
          </w:p>
        </w:tc>
        <w:tc>
          <w:tcPr>
            <w:tcW w:type="dxa" w:w="3092"/>
            <w:shd w:val="clear" w:color="auto" w:fill="143C64"/>
          </w:tcPr>
          <w:p>
            <w:pPr>
              <w:spacing w:after="0"/>
              <w:jc w:val="left"/>
            </w:pPr>
            <w:r/>
            <w:r>
              <w:rPr>
                <w:rFonts w:ascii="Calibri" w:hAnsi="Calibri"/>
                <w:b/>
                <w:color w:val="FFFFFF"/>
                <w:sz w:val="24"/>
              </w:rPr>
              <w:t>Objeto</w:t>
            </w:r>
          </w:p>
        </w:tc>
        <w:tc>
          <w:tcPr>
            <w:tcW w:type="dxa" w:w="3842"/>
            <w:shd w:val="clear" w:color="auto" w:fill="143C64"/>
          </w:tcPr>
          <w:p>
            <w:pPr>
              <w:spacing w:after="0"/>
              <w:jc w:val="left"/>
            </w:pPr>
            <w:r/>
            <w:r>
              <w:rPr>
                <w:rFonts w:ascii="Calibri" w:hAnsi="Calibri"/>
                <w:b/>
                <w:color w:val="FFFFFF"/>
                <w:sz w:val="24"/>
              </w:rPr>
              <w:t>Incidência no pacote</w:t>
            </w:r>
          </w:p>
        </w:tc>
      </w:tr>
      <w:tr>
        <w:trPr>
          <w:cantSplit/>
        </w:trPr>
        <w:tc>
          <w:tcPr>
            <w:tcW w:type="dxa" w:w="2138"/>
          </w:tcPr>
          <w:p>
            <w:pPr>
              <w:spacing w:after="0"/>
              <w:jc w:val="left"/>
            </w:pPr>
            <w:r/>
            <w:r>
              <w:rPr>
                <w:rFonts w:ascii="Calibri" w:hAnsi="Calibri"/>
                <w:b w:val="0"/>
                <w:color w:val="1A1A1A"/>
                <w:sz w:val="24"/>
              </w:rPr>
              <w:t>Lei nº 5.081, de 24 de agosto de 1966</w:t>
            </w:r>
          </w:p>
        </w:tc>
        <w:tc>
          <w:tcPr>
            <w:tcW w:type="dxa" w:w="3092"/>
          </w:tcPr>
          <w:p>
            <w:pPr>
              <w:spacing w:after="0"/>
              <w:jc w:val="left"/>
            </w:pPr>
            <w:r/>
            <w:r>
              <w:rPr>
                <w:rFonts w:ascii="Calibri" w:hAnsi="Calibri"/>
                <w:b w:val="0"/>
                <w:color w:val="1A1A1A"/>
                <w:sz w:val="24"/>
              </w:rPr>
              <w:t>Regula o exercício da Odontologia no Brasil.</w:t>
            </w:r>
          </w:p>
        </w:tc>
        <w:tc>
          <w:tcPr>
            <w:tcW w:type="dxa" w:w="3842"/>
          </w:tcPr>
          <w:p>
            <w:pPr>
              <w:spacing w:after="0"/>
              <w:jc w:val="left"/>
            </w:pPr>
            <w:r/>
            <w:r>
              <w:rPr>
                <w:rFonts w:ascii="Calibri" w:hAnsi="Calibri"/>
                <w:b w:val="0"/>
                <w:color w:val="1A1A1A"/>
                <w:sz w:val="24"/>
              </w:rPr>
              <w:t>Base legal do exercício profissional.</w:t>
            </w:r>
          </w:p>
        </w:tc>
      </w:tr>
      <w:tr>
        <w:trPr>
          <w:cantSplit/>
        </w:trPr>
        <w:tc>
          <w:tcPr>
            <w:tcW w:type="dxa" w:w="2138"/>
            <w:shd w:val="clear" w:color="auto" w:fill="F2F5F8"/>
          </w:tcPr>
          <w:p>
            <w:pPr>
              <w:spacing w:after="0"/>
              <w:jc w:val="left"/>
            </w:pPr>
            <w:r/>
            <w:r>
              <w:rPr>
                <w:rFonts w:ascii="Calibri" w:hAnsi="Calibri"/>
                <w:b w:val="0"/>
                <w:color w:val="1A1A1A"/>
                <w:sz w:val="24"/>
              </w:rPr>
              <w:t>Resolução CFO nº 118/2012</w:t>
            </w:r>
          </w:p>
        </w:tc>
        <w:tc>
          <w:tcPr>
            <w:tcW w:type="dxa" w:w="3092"/>
            <w:shd w:val="clear" w:color="auto" w:fill="F2F5F8"/>
          </w:tcPr>
          <w:p>
            <w:pPr>
              <w:spacing w:after="0"/>
              <w:jc w:val="left"/>
            </w:pPr>
            <w:r/>
            <w:r>
              <w:rPr>
                <w:rFonts w:ascii="Calibri" w:hAnsi="Calibri"/>
                <w:b w:val="0"/>
                <w:color w:val="1A1A1A"/>
                <w:sz w:val="24"/>
              </w:rPr>
              <w:t>Código de Ética Odontológica.</w:t>
            </w:r>
          </w:p>
        </w:tc>
        <w:tc>
          <w:tcPr>
            <w:tcW w:type="dxa" w:w="3842"/>
            <w:shd w:val="clear" w:color="auto" w:fill="F2F5F8"/>
          </w:tcPr>
          <w:p>
            <w:pPr>
              <w:spacing w:after="0"/>
              <w:jc w:val="left"/>
            </w:pPr>
            <w:r/>
            <w:r>
              <w:rPr>
                <w:rFonts w:ascii="Calibri" w:hAnsi="Calibri"/>
                <w:b w:val="0"/>
                <w:color w:val="1A1A1A"/>
                <w:sz w:val="24"/>
              </w:rPr>
              <w:t>Conduta, publicidade, consentimento e responsabilidade.</w:t>
            </w:r>
          </w:p>
        </w:tc>
      </w:tr>
      <w:tr>
        <w:trPr>
          <w:cantSplit/>
        </w:trPr>
        <w:tc>
          <w:tcPr>
            <w:tcW w:type="dxa" w:w="2138"/>
          </w:tcPr>
          <w:p>
            <w:pPr>
              <w:spacing w:after="0"/>
              <w:jc w:val="left"/>
            </w:pPr>
            <w:r/>
            <w:r>
              <w:rPr>
                <w:rFonts w:ascii="Calibri" w:hAnsi="Calibri"/>
                <w:b w:val="0"/>
                <w:color w:val="1A1A1A"/>
                <w:sz w:val="24"/>
              </w:rPr>
              <w:t>RDC Anvisa nº 1.002, de 15 de dezembro de 2025</w:t>
            </w:r>
          </w:p>
        </w:tc>
        <w:tc>
          <w:tcPr>
            <w:tcW w:type="dxa" w:w="3092"/>
          </w:tcPr>
          <w:p>
            <w:pPr>
              <w:spacing w:after="0"/>
              <w:jc w:val="left"/>
            </w:pPr>
            <w:r/>
            <w:r>
              <w:rPr>
                <w:rFonts w:ascii="Calibri" w:hAnsi="Calibri"/>
                <w:b w:val="0"/>
                <w:color w:val="1A1A1A"/>
                <w:sz w:val="24"/>
              </w:rPr>
              <w:t>Boas Práticas de Funcionamento para serviços que prestam assistência odontológica.</w:t>
            </w:r>
          </w:p>
        </w:tc>
        <w:tc>
          <w:tcPr>
            <w:tcW w:type="dxa" w:w="3842"/>
          </w:tcPr>
          <w:p>
            <w:pPr>
              <w:spacing w:after="0"/>
              <w:jc w:val="left"/>
            </w:pPr>
            <w:r/>
            <w:r>
              <w:rPr>
                <w:rFonts w:ascii="Calibri" w:hAnsi="Calibri"/>
                <w:b w:val="0"/>
                <w:color w:val="1A1A1A"/>
                <w:sz w:val="24"/>
              </w:rPr>
              <w:t>Fundamento direto da exigência de POP e da série documental do serviço.</w:t>
            </w:r>
          </w:p>
        </w:tc>
      </w:tr>
      <w:tr>
        <w:trPr>
          <w:cantSplit/>
        </w:trPr>
        <w:tc>
          <w:tcPr>
            <w:tcW w:type="dxa" w:w="2138"/>
            <w:shd w:val="clear" w:color="auto" w:fill="F2F5F8"/>
          </w:tcPr>
          <w:p>
            <w:pPr>
              <w:spacing w:after="0"/>
              <w:jc w:val="left"/>
            </w:pPr>
            <w:r/>
            <w:r>
              <w:rPr>
                <w:rFonts w:ascii="Calibri" w:hAnsi="Calibri"/>
                <w:b w:val="0"/>
                <w:color w:val="1A1A1A"/>
                <w:sz w:val="24"/>
              </w:rPr>
              <w:t>RDC Anvisa nº 63/2011</w:t>
            </w:r>
          </w:p>
        </w:tc>
        <w:tc>
          <w:tcPr>
            <w:tcW w:type="dxa" w:w="3092"/>
            <w:shd w:val="clear" w:color="auto" w:fill="F2F5F8"/>
          </w:tcPr>
          <w:p>
            <w:pPr>
              <w:spacing w:after="0"/>
              <w:jc w:val="left"/>
            </w:pPr>
            <w:r/>
            <w:r>
              <w:rPr>
                <w:rFonts w:ascii="Calibri" w:hAnsi="Calibri"/>
                <w:b w:val="0"/>
                <w:color w:val="1A1A1A"/>
                <w:sz w:val="24"/>
              </w:rPr>
              <w:t>Boas Práticas de Funcionamento para serviços de saúde.</w:t>
            </w:r>
          </w:p>
        </w:tc>
        <w:tc>
          <w:tcPr>
            <w:tcW w:type="dxa" w:w="3842"/>
            <w:shd w:val="clear" w:color="auto" w:fill="F2F5F8"/>
          </w:tcPr>
          <w:p>
            <w:pPr>
              <w:spacing w:after="0"/>
              <w:jc w:val="left"/>
            </w:pPr>
            <w:r/>
            <w:r>
              <w:rPr>
                <w:rFonts w:ascii="Calibri" w:hAnsi="Calibri"/>
                <w:b w:val="0"/>
                <w:color w:val="1A1A1A"/>
                <w:sz w:val="24"/>
              </w:rPr>
              <w:t>Aplicação complementar por remissão expressa.</w:t>
            </w:r>
          </w:p>
        </w:tc>
      </w:tr>
      <w:tr>
        <w:trPr>
          <w:cantSplit/>
        </w:trPr>
        <w:tc>
          <w:tcPr>
            <w:tcW w:type="dxa" w:w="2138"/>
          </w:tcPr>
          <w:p>
            <w:pPr>
              <w:spacing w:after="0"/>
              <w:jc w:val="left"/>
            </w:pPr>
            <w:r/>
            <w:r>
              <w:rPr>
                <w:rFonts w:ascii="Calibri" w:hAnsi="Calibri"/>
                <w:b w:val="0"/>
                <w:color w:val="1A1A1A"/>
                <w:sz w:val="24"/>
              </w:rPr>
              <w:t>RDC Anvisa nº 509/2021</w:t>
            </w:r>
          </w:p>
        </w:tc>
        <w:tc>
          <w:tcPr>
            <w:tcW w:type="dxa" w:w="3092"/>
          </w:tcPr>
          <w:p>
            <w:pPr>
              <w:spacing w:after="0"/>
              <w:jc w:val="left"/>
            </w:pPr>
            <w:r/>
            <w:r>
              <w:rPr>
                <w:rFonts w:ascii="Calibri" w:hAnsi="Calibri"/>
                <w:b w:val="0"/>
                <w:color w:val="1A1A1A"/>
                <w:sz w:val="24"/>
              </w:rPr>
              <w:t>Gerenciamento de tecnologias em serviços de saúde.</w:t>
            </w:r>
          </w:p>
        </w:tc>
        <w:tc>
          <w:tcPr>
            <w:tcW w:type="dxa" w:w="3842"/>
          </w:tcPr>
          <w:p>
            <w:pPr>
              <w:spacing w:after="0"/>
              <w:jc w:val="left"/>
            </w:pPr>
            <w:r/>
            <w:r>
              <w:rPr>
                <w:rFonts w:ascii="Calibri" w:hAnsi="Calibri"/>
                <w:b w:val="0"/>
                <w:color w:val="1A1A1A"/>
                <w:sz w:val="24"/>
              </w:rPr>
              <w:t>Plano de gerenciamento, rastreabilidade, guarda e monitoramento.</w:t>
            </w:r>
          </w:p>
        </w:tc>
      </w:tr>
      <w:tr>
        <w:trPr>
          <w:cantSplit/>
        </w:trPr>
        <w:tc>
          <w:tcPr>
            <w:tcW w:type="dxa" w:w="2138"/>
            <w:shd w:val="clear" w:color="auto" w:fill="F2F5F8"/>
          </w:tcPr>
          <w:p>
            <w:pPr>
              <w:spacing w:after="0"/>
              <w:jc w:val="left"/>
            </w:pPr>
            <w:r/>
            <w:r>
              <w:rPr>
                <w:rFonts w:ascii="Calibri" w:hAnsi="Calibri"/>
                <w:b w:val="0"/>
                <w:color w:val="1A1A1A"/>
                <w:sz w:val="24"/>
              </w:rPr>
              <w:t>RDC Anvisa nº 751/2022</w:t>
            </w:r>
          </w:p>
        </w:tc>
        <w:tc>
          <w:tcPr>
            <w:tcW w:type="dxa" w:w="3092"/>
            <w:shd w:val="clear" w:color="auto" w:fill="F2F5F8"/>
          </w:tcPr>
          <w:p>
            <w:pPr>
              <w:spacing w:after="0"/>
              <w:jc w:val="left"/>
            </w:pPr>
            <w:r/>
            <w:r>
              <w:rPr>
                <w:rFonts w:ascii="Calibri" w:hAnsi="Calibri"/>
                <w:b w:val="0"/>
                <w:color w:val="1A1A1A"/>
                <w:sz w:val="24"/>
              </w:rPr>
              <w:t>Dispositivos médicos: classificação e regularização.</w:t>
            </w:r>
          </w:p>
        </w:tc>
        <w:tc>
          <w:tcPr>
            <w:tcW w:type="dxa" w:w="3842"/>
            <w:shd w:val="clear" w:color="auto" w:fill="F2F5F8"/>
          </w:tcPr>
          <w:p>
            <w:pPr>
              <w:spacing w:after="0"/>
              <w:jc w:val="left"/>
            </w:pPr>
            <w:r/>
            <w:r>
              <w:rPr>
                <w:rFonts w:ascii="Calibri" w:hAnsi="Calibri"/>
                <w:b w:val="0"/>
                <w:color w:val="1A1A1A"/>
                <w:sz w:val="24"/>
              </w:rPr>
              <w:t>Registro, notificação, rotulagem e instruções de uso.</w:t>
            </w:r>
          </w:p>
        </w:tc>
      </w:tr>
      <w:tr>
        <w:trPr>
          <w:cantSplit/>
        </w:trPr>
        <w:tc>
          <w:tcPr>
            <w:tcW w:type="dxa" w:w="2138"/>
          </w:tcPr>
          <w:p>
            <w:pPr>
              <w:spacing w:after="0"/>
              <w:jc w:val="left"/>
            </w:pPr>
            <w:r/>
            <w:r>
              <w:rPr>
                <w:rFonts w:ascii="Calibri" w:hAnsi="Calibri"/>
                <w:b w:val="0"/>
                <w:color w:val="1A1A1A"/>
                <w:sz w:val="24"/>
              </w:rPr>
              <w:t>RDC Anvisa nº 549/2021</w:t>
            </w:r>
          </w:p>
        </w:tc>
        <w:tc>
          <w:tcPr>
            <w:tcW w:type="dxa" w:w="3092"/>
          </w:tcPr>
          <w:p>
            <w:pPr>
              <w:spacing w:after="0"/>
              <w:jc w:val="left"/>
            </w:pPr>
            <w:r/>
            <w:r>
              <w:rPr>
                <w:rFonts w:ascii="Calibri" w:hAnsi="Calibri"/>
                <w:b w:val="0"/>
                <w:color w:val="1A1A1A"/>
                <w:sz w:val="24"/>
              </w:rPr>
              <w:t>Certificação de conformidade de equipamentos sob regime aplicável.</w:t>
            </w:r>
          </w:p>
        </w:tc>
        <w:tc>
          <w:tcPr>
            <w:tcW w:type="dxa" w:w="3842"/>
          </w:tcPr>
          <w:p>
            <w:pPr>
              <w:spacing w:after="0"/>
              <w:jc w:val="left"/>
            </w:pPr>
            <w:r/>
            <w:r>
              <w:rPr>
                <w:rFonts w:ascii="Calibri" w:hAnsi="Calibri"/>
                <w:b w:val="0"/>
                <w:color w:val="1A1A1A"/>
                <w:sz w:val="24"/>
              </w:rPr>
              <w:t>Conformidade de equipamentos eletromédicos.</w:t>
            </w:r>
          </w:p>
        </w:tc>
      </w:tr>
      <w:tr>
        <w:trPr>
          <w:cantSplit/>
        </w:trPr>
        <w:tc>
          <w:tcPr>
            <w:tcW w:type="dxa" w:w="2138"/>
            <w:shd w:val="clear" w:color="auto" w:fill="F2F5F8"/>
          </w:tcPr>
          <w:p>
            <w:pPr>
              <w:spacing w:after="0"/>
              <w:jc w:val="left"/>
            </w:pPr>
            <w:r/>
            <w:r>
              <w:rPr>
                <w:rFonts w:ascii="Calibri" w:hAnsi="Calibri"/>
                <w:b w:val="0"/>
                <w:color w:val="1A1A1A"/>
                <w:sz w:val="24"/>
              </w:rPr>
              <w:t>Lei nº 13.709/2018</w:t>
            </w:r>
          </w:p>
        </w:tc>
        <w:tc>
          <w:tcPr>
            <w:tcW w:type="dxa" w:w="3092"/>
            <w:shd w:val="clear" w:color="auto" w:fill="F2F5F8"/>
          </w:tcPr>
          <w:p>
            <w:pPr>
              <w:spacing w:after="0"/>
              <w:jc w:val="left"/>
            </w:pPr>
            <w:r/>
            <w:r>
              <w:rPr>
                <w:rFonts w:ascii="Calibri" w:hAnsi="Calibri"/>
                <w:b w:val="0"/>
                <w:color w:val="1A1A1A"/>
                <w:sz w:val="24"/>
              </w:rPr>
              <w:t>Lei Geral de Proteção de Dados Pessoais.</w:t>
            </w:r>
          </w:p>
        </w:tc>
        <w:tc>
          <w:tcPr>
            <w:tcW w:type="dxa" w:w="3842"/>
            <w:shd w:val="clear" w:color="auto" w:fill="F2F5F8"/>
          </w:tcPr>
          <w:p>
            <w:pPr>
              <w:spacing w:after="0"/>
              <w:jc w:val="left"/>
            </w:pPr>
            <w:r/>
            <w:r>
              <w:rPr>
                <w:rFonts w:ascii="Calibri" w:hAnsi="Calibri"/>
                <w:b w:val="0"/>
                <w:color w:val="1A1A1A"/>
                <w:sz w:val="24"/>
              </w:rPr>
              <w:t>Imagens clínicas, prontuário e dados de saúde.</w:t>
            </w:r>
          </w:p>
        </w:tc>
      </w:tr>
      <w:tr>
        <w:trPr>
          <w:cantSplit/>
        </w:trPr>
        <w:tc>
          <w:tcPr>
            <w:tcW w:type="dxa" w:w="2138"/>
          </w:tcPr>
          <w:p>
            <w:pPr>
              <w:spacing w:after="0"/>
              <w:jc w:val="left"/>
            </w:pPr>
            <w:r/>
            <w:r>
              <w:rPr>
                <w:rFonts w:ascii="Calibri" w:hAnsi="Calibri"/>
                <w:b w:val="0"/>
                <w:color w:val="1A1A1A"/>
                <w:sz w:val="24"/>
              </w:rPr>
              <w:t>Lei nº 15.378, de 6 de abril de 2026</w:t>
            </w:r>
          </w:p>
        </w:tc>
        <w:tc>
          <w:tcPr>
            <w:tcW w:type="dxa" w:w="3092"/>
          </w:tcPr>
          <w:p>
            <w:pPr>
              <w:spacing w:after="0"/>
              <w:jc w:val="left"/>
            </w:pPr>
            <w:r/>
            <w:r>
              <w:rPr>
                <w:rFonts w:ascii="Calibri" w:hAnsi="Calibri"/>
                <w:b w:val="0"/>
                <w:color w:val="1A1A1A"/>
                <w:sz w:val="24"/>
              </w:rPr>
              <w:t>Institui o Estatuto dos Direitos do Paciente.</w:t>
            </w:r>
          </w:p>
        </w:tc>
        <w:tc>
          <w:tcPr>
            <w:tcW w:type="dxa" w:w="3842"/>
          </w:tcPr>
          <w:p>
            <w:pPr>
              <w:spacing w:after="0"/>
              <w:jc w:val="left"/>
            </w:pPr>
            <w:r/>
            <w:r>
              <w:rPr>
                <w:rFonts w:ascii="Calibri" w:hAnsi="Calibri"/>
                <w:b w:val="0"/>
                <w:color w:val="1A1A1A"/>
                <w:sz w:val="24"/>
              </w:rPr>
              <w:t>Informação, autonomia, consentimento, acesso ao prontuário e confidencialidade. Alcança a rede privada, incluindo clínicas e consultórios.</w:t>
            </w:r>
          </w:p>
        </w:tc>
      </w:tr>
      <w:tr>
        <w:trPr>
          <w:cantSplit/>
        </w:trPr>
        <w:tc>
          <w:tcPr>
            <w:tcW w:type="dxa" w:w="2138"/>
            <w:shd w:val="clear" w:color="auto" w:fill="F2F5F8"/>
          </w:tcPr>
          <w:p>
            <w:pPr>
              <w:spacing w:after="0"/>
              <w:jc w:val="left"/>
            </w:pPr>
            <w:r/>
            <w:r>
              <w:rPr>
                <w:rFonts w:ascii="Calibri" w:hAnsi="Calibri"/>
                <w:b w:val="0"/>
                <w:color w:val="1A1A1A"/>
                <w:sz w:val="24"/>
              </w:rPr>
              <w:t>Lei nº 12.842/2013</w:t>
            </w:r>
          </w:p>
        </w:tc>
        <w:tc>
          <w:tcPr>
            <w:tcW w:type="dxa" w:w="3092"/>
            <w:shd w:val="clear" w:color="auto" w:fill="F2F5F8"/>
          </w:tcPr>
          <w:p>
            <w:pPr>
              <w:spacing w:after="0"/>
              <w:jc w:val="left"/>
            </w:pPr>
            <w:r/>
            <w:r>
              <w:rPr>
                <w:rFonts w:ascii="Calibri" w:hAnsi="Calibri"/>
                <w:b w:val="0"/>
                <w:color w:val="1A1A1A"/>
                <w:sz w:val="24"/>
              </w:rPr>
              <w:t>Lei do Ato Médico.</w:t>
            </w:r>
          </w:p>
        </w:tc>
        <w:tc>
          <w:tcPr>
            <w:tcW w:type="dxa" w:w="3842"/>
            <w:shd w:val="clear" w:color="auto" w:fill="F2F5F8"/>
          </w:tcPr>
          <w:p>
            <w:pPr>
              <w:spacing w:after="0"/>
              <w:jc w:val="left"/>
            </w:pPr>
            <w:r/>
            <w:r>
              <w:rPr>
                <w:rFonts w:ascii="Calibri" w:hAnsi="Calibri"/>
                <w:b w:val="0"/>
                <w:color w:val="1A1A1A"/>
                <w:sz w:val="24"/>
              </w:rPr>
              <w:t>Delimitação de atos privativos. Referência das controvérsias judiciais registradas.</w:t>
            </w:r>
          </w:p>
        </w:tc>
      </w:tr>
      <w:tr>
        <w:trPr>
          <w:cantSplit/>
        </w:trPr>
        <w:tc>
          <w:tcPr>
            <w:tcW w:type="dxa" w:w="2138"/>
          </w:tcPr>
          <w:p>
            <w:pPr>
              <w:spacing w:after="0"/>
              <w:jc w:val="left"/>
            </w:pPr>
            <w:r/>
            <w:r>
              <w:rPr>
                <w:rFonts w:ascii="Calibri" w:hAnsi="Calibri"/>
                <w:b w:val="0"/>
                <w:color w:val="1A1A1A"/>
                <w:sz w:val="24"/>
              </w:rPr>
              <w:t>Portaria CRO-MG nº 190/2026</w:t>
            </w:r>
          </w:p>
        </w:tc>
        <w:tc>
          <w:tcPr>
            <w:tcW w:type="dxa" w:w="3092"/>
          </w:tcPr>
          <w:p>
            <w:pPr>
              <w:spacing w:after="0"/>
              <w:jc w:val="left"/>
            </w:pPr>
            <w:r/>
            <w:r>
              <w:rPr>
                <w:rFonts w:ascii="Calibri" w:hAnsi="Calibri"/>
                <w:b w:val="0"/>
                <w:color w:val="1A1A1A"/>
                <w:sz w:val="24"/>
              </w:rPr>
              <w:t>Constitui a Câmara Técnica de HOF e seus Núcleos.</w:t>
            </w:r>
          </w:p>
        </w:tc>
        <w:tc>
          <w:tcPr>
            <w:tcW w:type="dxa" w:w="3842"/>
          </w:tcPr>
          <w:p>
            <w:pPr>
              <w:spacing w:after="0"/>
              <w:jc w:val="left"/>
            </w:pPr>
            <w:r/>
            <w:r>
              <w:rPr>
                <w:rFonts w:ascii="Calibri" w:hAnsi="Calibri"/>
                <w:b w:val="0"/>
                <w:color w:val="1A1A1A"/>
                <w:sz w:val="24"/>
              </w:rPr>
              <w:t>Competência e composição do Núcleo 5.</w:t>
            </w:r>
          </w:p>
        </w:tc>
      </w:tr>
    </w:tbl>
    <w:p>
      <w:pPr>
        <w:keepNext/>
        <w:spacing w:before="240" w:after="80"/>
        <w:jc w:val="left"/>
      </w:pPr>
      <w:r>
        <w:rPr>
          <w:rFonts w:ascii="Calibri" w:hAnsi="Calibri"/>
          <w:b/>
          <w:color w:val="143C64"/>
          <w:sz w:val="26"/>
        </w:rPr>
        <w:t>Base científica</w:t>
      </w:r>
    </w:p>
    <w:p>
      <w:pPr>
        <w:spacing w:after="120"/>
        <w:jc w:val="both"/>
      </w:pPr>
      <w:r>
        <w:rPr>
          <w:rFonts w:ascii="Calibri" w:hAnsi="Calibri"/>
          <w:b w:val="0"/>
          <w:i w:val="0"/>
          <w:color w:val="1A1A1A"/>
          <w:sz w:val="24"/>
        </w:rPr>
        <w:t>As referências científicas abaixo foram verificadas individualmente na base PubMed em 25 de agosto de 2026. Identificador e localização bibliográfica foram conferidos um a um. Nenhuma referência foi incluída sem essa verificação.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546"/>
        <w:gridCol w:w="2363"/>
        <w:gridCol w:w="3163"/>
      </w:tblGrid>
      <w:tr>
        <w:trPr>
          <w:cantSplit/>
          <w:tblHeader/>
        </w:trPr>
        <w:tc>
          <w:tcPr>
            <w:tcW w:type="dxa" w:w="3546"/>
            <w:shd w:val="clear" w:color="auto" w:fill="143C64"/>
          </w:tcPr>
          <w:p>
            <w:pPr>
              <w:spacing w:after="0"/>
              <w:jc w:val="left"/>
            </w:pPr>
            <w:r/>
            <w:r>
              <w:rPr>
                <w:rFonts w:ascii="Calibri" w:hAnsi="Calibri"/>
                <w:b/>
                <w:color w:val="FFFFFF"/>
                <w:sz w:val="24"/>
              </w:rPr>
              <w:t>Referência</w:t>
            </w:r>
          </w:p>
        </w:tc>
        <w:tc>
          <w:tcPr>
            <w:tcW w:type="dxa" w:w="2363"/>
            <w:shd w:val="clear" w:color="auto" w:fill="143C64"/>
          </w:tcPr>
          <w:p>
            <w:pPr>
              <w:spacing w:after="0"/>
              <w:jc w:val="left"/>
            </w:pPr>
            <w:r/>
            <w:r>
              <w:rPr>
                <w:rFonts w:ascii="Calibri" w:hAnsi="Calibri"/>
                <w:b/>
                <w:color w:val="FFFFFF"/>
                <w:sz w:val="24"/>
              </w:rPr>
              <w:t>Desenho</w:t>
            </w:r>
          </w:p>
        </w:tc>
        <w:tc>
          <w:tcPr>
            <w:tcW w:type="dxa" w:w="3163"/>
            <w:shd w:val="clear" w:color="auto" w:fill="143C64"/>
          </w:tcPr>
          <w:p>
            <w:pPr>
              <w:spacing w:after="0"/>
              <w:jc w:val="left"/>
            </w:pPr>
            <w:r/>
            <w:r>
              <w:rPr>
                <w:rFonts w:ascii="Calibri" w:hAnsi="Calibri"/>
                <w:b/>
                <w:color w:val="FFFFFF"/>
                <w:sz w:val="24"/>
              </w:rPr>
              <w:t>Identificadores e verificação</w:t>
            </w:r>
          </w:p>
        </w:tc>
      </w:tr>
      <w:tr>
        <w:trPr>
          <w:cantSplit/>
        </w:trPr>
        <w:tc>
          <w:tcPr>
            <w:tcW w:type="dxa" w:w="3546"/>
          </w:tcPr>
          <w:p>
            <w:pPr>
              <w:spacing w:after="0"/>
              <w:jc w:val="left"/>
            </w:pPr>
            <w:r/>
            <w:r>
              <w:rPr>
                <w:rFonts w:ascii="Calibri" w:hAnsi="Calibri"/>
                <w:b w:val="0"/>
                <w:color w:val="1A1A1A"/>
                <w:sz w:val="24"/>
              </w:rPr>
              <w:t>Madero-Pérez J, Gil-Martinez M, Muñoz-Gonzalez C, Fakih D, Martin-Marfil P, Fakih-Gomez N. Guide for Managing Vascular Occlusion Caused by Fillers with Exclusive Cutaneous Involvement. Aesthetic Plast Surg. 2025;50(5):2068-2082.</w:t>
            </w:r>
          </w:p>
        </w:tc>
        <w:tc>
          <w:tcPr>
            <w:tcW w:type="dxa" w:w="2363"/>
          </w:tcPr>
          <w:p>
            <w:pPr>
              <w:spacing w:after="0"/>
              <w:jc w:val="left"/>
            </w:pPr>
            <w:r/>
            <w:r>
              <w:rPr>
                <w:rFonts w:ascii="Calibri" w:hAnsi="Calibri"/>
                <w:b w:val="0"/>
                <w:color w:val="1A1A1A"/>
                <w:sz w:val="24"/>
              </w:rPr>
              <w:t>Revisão sistemática</w:t>
            </w:r>
          </w:p>
        </w:tc>
        <w:tc>
          <w:tcPr>
            <w:tcW w:type="dxa" w:w="3163"/>
          </w:tcPr>
          <w:p>
            <w:pPr>
              <w:spacing w:after="0"/>
              <w:jc w:val="left"/>
            </w:pPr>
            <w:r/>
            <w:r>
              <w:rPr>
                <w:rFonts w:ascii="Calibri" w:hAnsi="Calibri"/>
                <w:b w:val="0"/>
                <w:color w:val="1A1A1A"/>
                <w:sz w:val="24"/>
              </w:rPr>
              <w:t>PMID 40770496</w:t>
            </w:r>
          </w:p>
          <w:p>
            <w:pPr>
              <w:spacing w:after="0"/>
              <w:jc w:val="left"/>
            </w:pPr>
            <w:r>
              <w:rPr>
                <w:rFonts w:ascii="Calibri" w:hAnsi="Calibri"/>
                <w:b w:val="0"/>
                <w:color w:val="1A1A1A"/>
                <w:sz w:val="24"/>
              </w:rPr>
              <w:t>DOI 10.1007/s00266-025-05104-3</w:t>
            </w:r>
          </w:p>
          <w:p>
            <w:pPr>
              <w:spacing w:after="0"/>
              <w:jc w:val="left"/>
            </w:pPr>
            <w:r>
              <w:rPr>
                <w:rFonts w:ascii="Calibri" w:hAnsi="Calibri"/>
                <w:b w:val="0"/>
                <w:color w:val="1A1A1A"/>
                <w:sz w:val="24"/>
              </w:rPr>
              <w:t>Verificado em 25 de agosto de 2026</w:t>
            </w:r>
          </w:p>
        </w:tc>
      </w:tr>
      <w:tr>
        <w:trPr>
          <w:cantSplit/>
        </w:trPr>
        <w:tc>
          <w:tcPr>
            <w:tcW w:type="dxa" w:w="3546"/>
            <w:shd w:val="clear" w:color="auto" w:fill="F2F5F8"/>
          </w:tcPr>
          <w:p>
            <w:pPr>
              <w:spacing w:after="0"/>
              <w:jc w:val="left"/>
            </w:pPr>
            <w:r/>
            <w:r>
              <w:rPr>
                <w:rFonts w:ascii="Calibri" w:hAnsi="Calibri"/>
                <w:b w:val="0"/>
                <w:color w:val="1A1A1A"/>
                <w:sz w:val="24"/>
              </w:rPr>
              <w:t>Madero-Pérez J, Gil-Martinez M, Arrien L, Nazari S, Pourani MR, Martin-Marfil P, Fakih-Gomez N. Guide for Managing Vascular Occlusion Due to Fillers with Extended Neuro-Ophthalmic Involvement. Aesthetic Plast Surg. 2026;50(11):4387-4404.</w:t>
            </w:r>
          </w:p>
        </w:tc>
        <w:tc>
          <w:tcPr>
            <w:tcW w:type="dxa" w:w="2363"/>
            <w:shd w:val="clear" w:color="auto" w:fill="F2F5F8"/>
          </w:tcPr>
          <w:p>
            <w:pPr>
              <w:spacing w:after="0"/>
              <w:jc w:val="left"/>
            </w:pPr>
            <w:r/>
            <w:r>
              <w:rPr>
                <w:rFonts w:ascii="Calibri" w:hAnsi="Calibri"/>
                <w:b w:val="0"/>
                <w:color w:val="1A1A1A"/>
                <w:sz w:val="24"/>
              </w:rPr>
              <w:t>Revisão (35 artigos, PRISMA 2020)</w:t>
            </w:r>
          </w:p>
        </w:tc>
        <w:tc>
          <w:tcPr>
            <w:tcW w:type="dxa" w:w="3163"/>
            <w:shd w:val="clear" w:color="auto" w:fill="F2F5F8"/>
          </w:tcPr>
          <w:p>
            <w:pPr>
              <w:spacing w:after="0"/>
              <w:jc w:val="left"/>
            </w:pPr>
            <w:r/>
            <w:r>
              <w:rPr>
                <w:rFonts w:ascii="Calibri" w:hAnsi="Calibri"/>
                <w:b w:val="0"/>
                <w:color w:val="1A1A1A"/>
                <w:sz w:val="24"/>
              </w:rPr>
              <w:t>PMID 41840246</w:t>
            </w:r>
          </w:p>
          <w:p>
            <w:pPr>
              <w:spacing w:after="0"/>
              <w:jc w:val="left"/>
            </w:pPr>
            <w:r>
              <w:rPr>
                <w:rFonts w:ascii="Calibri" w:hAnsi="Calibri"/>
                <w:b w:val="0"/>
                <w:color w:val="1A1A1A"/>
                <w:sz w:val="24"/>
              </w:rPr>
              <w:t>DOI 10.1007/s00266-026-05792-5</w:t>
            </w:r>
          </w:p>
          <w:p>
            <w:pPr>
              <w:spacing w:after="0"/>
              <w:jc w:val="left"/>
            </w:pPr>
            <w:r>
              <w:rPr>
                <w:rFonts w:ascii="Calibri" w:hAnsi="Calibri"/>
                <w:b w:val="0"/>
                <w:color w:val="1A1A1A"/>
                <w:sz w:val="24"/>
              </w:rPr>
              <w:t>Verificado em 25 de agosto de 2026</w:t>
            </w:r>
          </w:p>
        </w:tc>
      </w:tr>
      <w:tr>
        <w:trPr>
          <w:cantSplit/>
        </w:trPr>
        <w:tc>
          <w:tcPr>
            <w:tcW w:type="dxa" w:w="3546"/>
          </w:tcPr>
          <w:p>
            <w:pPr>
              <w:spacing w:after="0"/>
              <w:jc w:val="left"/>
            </w:pPr>
            <w:r/>
            <w:r>
              <w:rPr>
                <w:rFonts w:ascii="Calibri" w:hAnsi="Calibri"/>
                <w:b w:val="0"/>
                <w:color w:val="1A1A1A"/>
                <w:sz w:val="24"/>
              </w:rPr>
              <w:t>Madero-Pérez J, Gil-Martinez M, Muñoz-Gonzalez C, Martin-Marfil P, Fakih-Gomez N. Essential Pharmaceutical Drugs in the Filler Emergency Kit. Aesthetic Plast Surg. 2025;49(14):4043-4056.</w:t>
            </w:r>
          </w:p>
        </w:tc>
        <w:tc>
          <w:tcPr>
            <w:tcW w:type="dxa" w:w="2363"/>
          </w:tcPr>
          <w:p>
            <w:pPr>
              <w:spacing w:after="0"/>
              <w:jc w:val="left"/>
            </w:pPr>
            <w:r/>
            <w:r>
              <w:rPr>
                <w:rFonts w:ascii="Calibri" w:hAnsi="Calibri"/>
                <w:b w:val="0"/>
                <w:color w:val="1A1A1A"/>
                <w:sz w:val="24"/>
              </w:rPr>
              <w:t>Revisão</w:t>
            </w:r>
          </w:p>
        </w:tc>
        <w:tc>
          <w:tcPr>
            <w:tcW w:type="dxa" w:w="3163"/>
          </w:tcPr>
          <w:p>
            <w:pPr>
              <w:spacing w:after="0"/>
              <w:jc w:val="left"/>
            </w:pPr>
            <w:r/>
            <w:r>
              <w:rPr>
                <w:rFonts w:ascii="Calibri" w:hAnsi="Calibri"/>
                <w:b w:val="0"/>
                <w:color w:val="1A1A1A"/>
                <w:sz w:val="24"/>
              </w:rPr>
              <w:t>PMID 40164895</w:t>
            </w:r>
          </w:p>
          <w:p>
            <w:pPr>
              <w:spacing w:after="0"/>
              <w:jc w:val="left"/>
            </w:pPr>
            <w:r>
              <w:rPr>
                <w:rFonts w:ascii="Calibri" w:hAnsi="Calibri"/>
                <w:b w:val="0"/>
                <w:color w:val="1A1A1A"/>
                <w:sz w:val="24"/>
              </w:rPr>
              <w:t>DOI 10.1007/s00266-025-04808-w</w:t>
            </w:r>
          </w:p>
          <w:p>
            <w:pPr>
              <w:spacing w:after="0"/>
              <w:jc w:val="left"/>
            </w:pPr>
            <w:r>
              <w:rPr>
                <w:rFonts w:ascii="Calibri" w:hAnsi="Calibri"/>
                <w:b w:val="0"/>
                <w:color w:val="1A1A1A"/>
                <w:sz w:val="24"/>
              </w:rPr>
              <w:t>Verificado em 25 de agosto de 2026</w:t>
            </w:r>
          </w:p>
        </w:tc>
      </w:tr>
      <w:tr>
        <w:trPr>
          <w:cantSplit/>
        </w:trPr>
        <w:tc>
          <w:tcPr>
            <w:tcW w:type="dxa" w:w="3546"/>
            <w:shd w:val="clear" w:color="auto" w:fill="F2F5F8"/>
          </w:tcPr>
          <w:p>
            <w:pPr>
              <w:spacing w:after="0"/>
              <w:jc w:val="left"/>
            </w:pPr>
            <w:r/>
            <w:r>
              <w:rPr>
                <w:rFonts w:ascii="Calibri" w:hAnsi="Calibri"/>
                <w:b w:val="0"/>
                <w:color w:val="1A1A1A"/>
                <w:sz w:val="24"/>
              </w:rPr>
              <w:t>Paluch Ł, Pietruski P, Noszczyk B, Kwiek B, Ambroziak M. Intra-rater reproducibility of shear wave elastography in the evaluation of facial skin. Postepy Dermatol Alergol. 37(3):371-376.</w:t>
            </w:r>
          </w:p>
        </w:tc>
        <w:tc>
          <w:tcPr>
            <w:tcW w:type="dxa" w:w="2363"/>
            <w:shd w:val="clear" w:color="auto" w:fill="F2F5F8"/>
          </w:tcPr>
          <w:p>
            <w:pPr>
              <w:spacing w:after="0"/>
              <w:jc w:val="left"/>
            </w:pPr>
            <w:r/>
            <w:r>
              <w:rPr>
                <w:rFonts w:ascii="Calibri" w:hAnsi="Calibri"/>
                <w:b w:val="0"/>
                <w:color w:val="1A1A1A"/>
                <w:sz w:val="24"/>
              </w:rPr>
              <w:t>Estudo transversal, 57 participantes</w:t>
            </w:r>
          </w:p>
        </w:tc>
        <w:tc>
          <w:tcPr>
            <w:tcW w:type="dxa" w:w="3163"/>
            <w:shd w:val="clear" w:color="auto" w:fill="F2F5F8"/>
          </w:tcPr>
          <w:p>
            <w:pPr>
              <w:spacing w:after="0"/>
              <w:jc w:val="left"/>
            </w:pPr>
            <w:r/>
            <w:r>
              <w:rPr>
                <w:rFonts w:ascii="Calibri" w:hAnsi="Calibri"/>
                <w:b w:val="0"/>
                <w:color w:val="1A1A1A"/>
                <w:sz w:val="24"/>
              </w:rPr>
              <w:t>PMID 32792878</w:t>
            </w:r>
          </w:p>
          <w:p>
            <w:pPr>
              <w:spacing w:after="0"/>
              <w:jc w:val="left"/>
            </w:pPr>
            <w:r>
              <w:rPr>
                <w:rFonts w:ascii="Calibri" w:hAnsi="Calibri"/>
                <w:b w:val="0"/>
                <w:color w:val="1A1A1A"/>
                <w:sz w:val="24"/>
              </w:rPr>
              <w:t>DOI 10.5114/ada.2018.81144</w:t>
            </w:r>
          </w:p>
          <w:p>
            <w:pPr>
              <w:spacing w:after="0"/>
              <w:jc w:val="left"/>
            </w:pPr>
            <w:r>
              <w:rPr>
                <w:rFonts w:ascii="Calibri" w:hAnsi="Calibri"/>
                <w:b w:val="0"/>
                <w:color w:val="1A1A1A"/>
                <w:sz w:val="24"/>
              </w:rPr>
              <w:t>Verificado em 25 de agosto de 2026</w:t>
            </w:r>
          </w:p>
        </w:tc>
      </w:tr>
      <w:tr>
        <w:trPr>
          <w:cantSplit/>
        </w:trPr>
        <w:tc>
          <w:tcPr>
            <w:tcW w:type="dxa" w:w="3546"/>
          </w:tcPr>
          <w:p>
            <w:pPr>
              <w:spacing w:after="0"/>
              <w:jc w:val="left"/>
            </w:pPr>
            <w:r/>
            <w:r>
              <w:rPr>
                <w:rFonts w:ascii="Calibri" w:hAnsi="Calibri"/>
                <w:b w:val="0"/>
                <w:color w:val="1A1A1A"/>
                <w:sz w:val="24"/>
              </w:rPr>
              <w:t>Colceriu AA, Ifteni PI, Rogozea L, Leașu FG, Stuckler D. The Impact of Artificial Intelligence on Facial Aesthetic Surgery: A Systematic Review. Aesthet Surg J Open Forum. 2026;8:ojag114.</w:t>
            </w:r>
          </w:p>
        </w:tc>
        <w:tc>
          <w:tcPr>
            <w:tcW w:type="dxa" w:w="2363"/>
          </w:tcPr>
          <w:p>
            <w:pPr>
              <w:spacing w:after="0"/>
              <w:jc w:val="left"/>
            </w:pPr>
            <w:r/>
            <w:r>
              <w:rPr>
                <w:rFonts w:ascii="Calibri" w:hAnsi="Calibri"/>
                <w:b w:val="0"/>
                <w:color w:val="1A1A1A"/>
                <w:sz w:val="24"/>
              </w:rPr>
              <w:t>Revisão sistemática (29 de 1.832 registros)</w:t>
            </w:r>
          </w:p>
        </w:tc>
        <w:tc>
          <w:tcPr>
            <w:tcW w:type="dxa" w:w="3163"/>
          </w:tcPr>
          <w:p>
            <w:pPr>
              <w:spacing w:after="0"/>
              <w:jc w:val="left"/>
            </w:pPr>
            <w:r/>
            <w:r>
              <w:rPr>
                <w:rFonts w:ascii="Calibri" w:hAnsi="Calibri"/>
                <w:b w:val="0"/>
                <w:color w:val="1A1A1A"/>
                <w:sz w:val="24"/>
              </w:rPr>
              <w:t>PMID 42422339</w:t>
            </w:r>
          </w:p>
          <w:p>
            <w:pPr>
              <w:spacing w:after="0"/>
              <w:jc w:val="left"/>
            </w:pPr>
            <w:r>
              <w:rPr>
                <w:rFonts w:ascii="Calibri" w:hAnsi="Calibri"/>
                <w:b w:val="0"/>
                <w:color w:val="1A1A1A"/>
                <w:sz w:val="24"/>
              </w:rPr>
              <w:t>DOI 10.1093/asjof/ojag114</w:t>
            </w:r>
          </w:p>
          <w:p>
            <w:pPr>
              <w:spacing w:after="0"/>
              <w:jc w:val="left"/>
            </w:pPr>
            <w:r>
              <w:rPr>
                <w:rFonts w:ascii="Calibri" w:hAnsi="Calibri"/>
                <w:b w:val="0"/>
                <w:color w:val="1A1A1A"/>
                <w:sz w:val="24"/>
              </w:rPr>
              <w:t>Verificado em 25 de agosto de 2026</w:t>
            </w:r>
          </w:p>
        </w:tc>
      </w:tr>
    </w:tbl>
    <w:p>
      <w:pPr>
        <w:spacing w:after="120"/>
        <w:jc w:val="both"/>
      </w:pPr>
      <w:r>
        <w:rPr>
          <w:rFonts w:ascii="Calibri" w:hAnsi="Calibri"/>
          <w:b w:val="0"/>
          <w:i/>
          <w:color w:val="1A1A1A"/>
          <w:sz w:val="24"/>
        </w:rPr>
        <w:t>Fonte de verificação: PubMed, Biblioteca Nacional de Medicina dos Estados Unidos. A citação de um estudo neste pacote não implica endosso de conduta clínica nem transposição automática de sua conclusão para o escopo odontológico, que depende de análise institucional própria.</w:t>
      </w:r>
    </w:p>
    <w:sectPr w:rsidR="00FC693F" w:rsidRPr="0006063C" w:rsidSect="00034616">
      <w:headerReference w:type="default" r:id="rId9"/>
      <w:footerReference w:type="default" r:id="rId10"/>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olor w:val="444A52"/>
        <w:sz w:val="18"/>
      </w:rPr>
      <w:t>N5-PROG-01 · Programa HOF Segura 2026 · versão 2.0 · documento técnico-consultivo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rFonts w:ascii="Calibri" w:hAnsi="Calibri"/>
        <w:color w:val="444A52"/>
        <w:sz w:val="18"/>
      </w:rPr>
      <w:t>Núcleo 5 · CT-HOF · CRO-MG | N5-PROG-01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jc w:val="both"/>
    </w:pPr>
    <w:rPr>
      <w:rFonts w:ascii="Calibri" w:hAnsi="Calibri" w:eastAsia="Calibri"/>
      <w:color w:val="1A1A1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