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PRODUTO DA META M10</w:t>
      </w:r>
    </w:p>
    <w:p>
      <w:pPr>
        <w:spacing w:after="160"/>
        <w:jc w:val="center"/>
      </w:pPr>
      <w:r>
        <w:rPr>
          <w:rFonts w:ascii="Calibri" w:hAnsi="Calibri"/>
          <w:b/>
          <w:color w:val="143C64"/>
          <w:sz w:val="48"/>
        </w:rPr>
        <w:t>Dossiê de Submissão à Diretoria Executiva</w:t>
      </w:r>
    </w:p>
    <w:p>
      <w:pPr>
        <w:spacing w:after="720"/>
        <w:jc w:val="center"/>
      </w:pPr>
      <w:r>
        <w:rPr>
          <w:rFonts w:ascii="Calibri" w:hAnsi="Calibri"/>
          <w:b w:val="0"/>
          <w:i w:val="0"/>
          <w:color w:val="444A52"/>
          <w:sz w:val="26"/>
        </w:rPr>
        <w:t>Ofício de encaminhamento, termo de entrega, relação de produtos e controle de protocolo do conjunto produzido no ciclo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N5-SUB-01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1.0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Pronto para assinatura e protocolo</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Finalidade</w:t>
      </w:r>
    </w:p>
    <w:p>
      <w:pPr>
        <w:spacing w:after="120"/>
        <w:jc w:val="both"/>
      </w:pPr>
      <w:r>
        <w:rPr>
          <w:rFonts w:ascii="Calibri" w:hAnsi="Calibri"/>
          <w:b w:val="0"/>
          <w:i w:val="0"/>
          <w:color w:val="1A1A1A"/>
          <w:sz w:val="24"/>
        </w:rPr>
        <w:t>O indicador da M10 é o protocolo de submissão com todos os produtos anexados. Este dossiê é a peça que materializa esse indicador. Sem ele, o pacote existe mas a meta não se comprova, porque não há registro formal da entrega.</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Minuta de ofício de encaminhamento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863"/>
        <w:gridCol w:w="6209"/>
      </w:tblGrid>
      <w:tr>
        <w:trPr>
          <w:cantSplit/>
          <w:tblHeader/>
        </w:trPr>
        <w:tc>
          <w:tcPr>
            <w:tcW w:type="dxa" w:w="2863"/>
            <w:shd w:val="clear" w:color="auto" w:fill="143C64"/>
          </w:tcPr>
          <w:p>
            <w:pPr>
              <w:spacing w:after="0"/>
              <w:jc w:val="left"/>
            </w:pPr>
            <w:r/>
            <w:r>
              <w:rPr>
                <w:rFonts w:ascii="Calibri" w:hAnsi="Calibri"/>
                <w:b/>
                <w:color w:val="FFFFFF"/>
                <w:sz w:val="24"/>
              </w:rPr>
              <w:t>Elemento</w:t>
            </w:r>
          </w:p>
        </w:tc>
        <w:tc>
          <w:tcPr>
            <w:tcW w:type="dxa" w:w="6209"/>
            <w:shd w:val="clear" w:color="auto" w:fill="143C64"/>
          </w:tcPr>
          <w:p>
            <w:pPr>
              <w:spacing w:after="0"/>
              <w:jc w:val="left"/>
            </w:pPr>
            <w:r/>
            <w:r>
              <w:rPr>
                <w:rFonts w:ascii="Calibri" w:hAnsi="Calibri"/>
                <w:b/>
                <w:color w:val="FFFFFF"/>
                <w:sz w:val="24"/>
              </w:rPr>
              <w:t>Texto</w:t>
            </w:r>
          </w:p>
        </w:tc>
      </w:tr>
      <w:tr>
        <w:trPr>
          <w:cantSplit/>
        </w:trPr>
        <w:tc>
          <w:tcPr>
            <w:tcW w:type="dxa" w:w="2863"/>
          </w:tcPr>
          <w:p>
            <w:pPr>
              <w:spacing w:after="0"/>
              <w:jc w:val="left"/>
            </w:pPr>
            <w:r/>
            <w:r>
              <w:rPr>
                <w:rFonts w:ascii="Calibri" w:hAnsi="Calibri"/>
                <w:b/>
                <w:color w:val="1A1A1A"/>
                <w:sz w:val="24"/>
              </w:rPr>
              <w:t>Identificação</w:t>
            </w:r>
          </w:p>
        </w:tc>
        <w:tc>
          <w:tcPr>
            <w:tcW w:type="dxa" w:w="6209"/>
          </w:tcPr>
          <w:p>
            <w:pPr>
              <w:spacing w:after="0"/>
              <w:jc w:val="left"/>
            </w:pPr>
            <w:r/>
            <w:r>
              <w:rPr>
                <w:rFonts w:ascii="Calibri" w:hAnsi="Calibri"/>
                <w:b w:val="0"/>
                <w:color w:val="1A1A1A"/>
                <w:sz w:val="24"/>
              </w:rPr>
              <w:t>Ofício nº [número] / 2026 · Núcleo 5 · Câmara Técnica de Harmonização Orofacial · CRO-MG. Belo Horizonte, [data].</w:t>
            </w:r>
          </w:p>
        </w:tc>
      </w:tr>
      <w:tr>
        <w:trPr>
          <w:cantSplit/>
        </w:trPr>
        <w:tc>
          <w:tcPr>
            <w:tcW w:type="dxa" w:w="2863"/>
            <w:shd w:val="clear" w:color="auto" w:fill="F2F5F8"/>
          </w:tcPr>
          <w:p>
            <w:pPr>
              <w:spacing w:after="0"/>
              <w:jc w:val="left"/>
            </w:pPr>
            <w:r/>
            <w:r>
              <w:rPr>
                <w:rFonts w:ascii="Calibri" w:hAnsi="Calibri"/>
                <w:b/>
                <w:color w:val="1A1A1A"/>
                <w:sz w:val="24"/>
              </w:rPr>
              <w:t>Destinatário</w:t>
            </w:r>
          </w:p>
        </w:tc>
        <w:tc>
          <w:tcPr>
            <w:tcW w:type="dxa" w:w="6209"/>
            <w:shd w:val="clear" w:color="auto" w:fill="F2F5F8"/>
          </w:tcPr>
          <w:p>
            <w:pPr>
              <w:spacing w:after="0"/>
              <w:jc w:val="left"/>
            </w:pPr>
            <w:r/>
            <w:r>
              <w:rPr>
                <w:rFonts w:ascii="Calibri" w:hAnsi="Calibri"/>
                <w:b w:val="0"/>
                <w:color w:val="1A1A1A"/>
                <w:sz w:val="24"/>
              </w:rPr>
              <w:t>À Diretoria Executiva do Conselho Regional de Odontologia de Minas Gerais.</w:t>
            </w:r>
          </w:p>
        </w:tc>
      </w:tr>
      <w:tr>
        <w:trPr>
          <w:cantSplit/>
        </w:trPr>
        <w:tc>
          <w:tcPr>
            <w:tcW w:type="dxa" w:w="2863"/>
          </w:tcPr>
          <w:p>
            <w:pPr>
              <w:spacing w:after="0"/>
              <w:jc w:val="left"/>
            </w:pPr>
            <w:r/>
            <w:r>
              <w:rPr>
                <w:rFonts w:ascii="Calibri" w:hAnsi="Calibri"/>
                <w:b/>
                <w:color w:val="1A1A1A"/>
                <w:sz w:val="24"/>
              </w:rPr>
              <w:t>Assunto</w:t>
            </w:r>
          </w:p>
        </w:tc>
        <w:tc>
          <w:tcPr>
            <w:tcW w:type="dxa" w:w="6209"/>
          </w:tcPr>
          <w:p>
            <w:pPr>
              <w:spacing w:after="0"/>
              <w:jc w:val="left"/>
            </w:pPr>
            <w:r/>
            <w:r>
              <w:rPr>
                <w:rFonts w:ascii="Calibri" w:hAnsi="Calibri"/>
                <w:b w:val="0"/>
                <w:color w:val="1A1A1A"/>
                <w:sz w:val="24"/>
              </w:rPr>
              <w:t>Submissão do conjunto de produtos técnicos do Núcleo 5 do ciclo 2026 para validação institucional.</w:t>
            </w:r>
          </w:p>
        </w:tc>
      </w:tr>
      <w:tr>
        <w:trPr>
          <w:cantSplit/>
        </w:trPr>
        <w:tc>
          <w:tcPr>
            <w:tcW w:type="dxa" w:w="2863"/>
            <w:shd w:val="clear" w:color="auto" w:fill="F2F5F8"/>
          </w:tcPr>
          <w:p>
            <w:pPr>
              <w:spacing w:after="0"/>
              <w:jc w:val="left"/>
            </w:pPr>
            <w:r/>
            <w:r>
              <w:rPr>
                <w:rFonts w:ascii="Calibri" w:hAnsi="Calibri"/>
                <w:b/>
                <w:color w:val="1A1A1A"/>
                <w:sz w:val="24"/>
              </w:rPr>
              <w:t>Corpo</w:t>
            </w:r>
          </w:p>
        </w:tc>
        <w:tc>
          <w:tcPr>
            <w:tcW w:type="dxa" w:w="6209"/>
            <w:shd w:val="clear" w:color="auto" w:fill="F2F5F8"/>
          </w:tcPr>
          <w:p>
            <w:pPr>
              <w:spacing w:after="0"/>
              <w:jc w:val="left"/>
            </w:pPr>
            <w:r/>
            <w:r>
              <w:rPr>
                <w:rFonts w:ascii="Calibri" w:hAnsi="Calibri"/>
                <w:b w:val="0"/>
                <w:color w:val="1A1A1A"/>
                <w:sz w:val="24"/>
              </w:rPr>
              <w:t>O Núcleo 5, Inovação, Tecnologias e Segurança Clínica, constituído pela Portaria CRO-MG nº 190/2026, submete à apreciação e validação desta Diretoria Executiva o conjunto de produtos técnicos elaborados no ciclo 2026, relacionados no anexo I deste ofício.</w:t>
            </w:r>
          </w:p>
          <w:p>
            <w:pPr>
              <w:spacing w:after="0"/>
              <w:jc w:val="left"/>
            </w:pPr>
            <w:r>
              <w:rPr>
                <w:rFonts w:ascii="Calibri" w:hAnsi="Calibri"/>
                <w:b w:val="0"/>
                <w:color w:val="1A1A1A"/>
                <w:sz w:val="24"/>
              </w:rPr>
              <w:t>Os documentos têm natureza técnico-consultiva e não constituem norma, parecer vinculante ou posição oficial do Conselho antes da validação competente. Todos foram submetidos a revisão interna e a auditoria técnica registrada no documento 13 do conjunto.</w:t>
            </w:r>
          </w:p>
          <w:p>
            <w:pPr>
              <w:spacing w:after="0"/>
              <w:jc w:val="left"/>
            </w:pPr>
            <w:r>
              <w:rPr>
                <w:rFonts w:ascii="Calibri" w:hAnsi="Calibri"/>
                <w:b w:val="0"/>
                <w:color w:val="1A1A1A"/>
                <w:sz w:val="24"/>
              </w:rPr>
              <w:t>O anexo II relaciona as pendências declaradas que dependem de manifestação institucional, de revisão jurídica ou de resposta de órgão externo, e que por essa razão não foram encerradas pelo Núcleo.</w:t>
            </w:r>
          </w:p>
          <w:p>
            <w:pPr>
              <w:spacing w:after="0"/>
              <w:jc w:val="left"/>
            </w:pPr>
            <w:r>
              <w:rPr>
                <w:rFonts w:ascii="Calibri" w:hAnsi="Calibri"/>
                <w:b w:val="0"/>
                <w:color w:val="1A1A1A"/>
                <w:sz w:val="24"/>
              </w:rPr>
              <w:t>Solicitamos manifestação quanto à validação dos produtos, quanto ao escopo autorizado de publicação externa e quanto aos encaminhamentos indicados no anexo II.</w:t>
            </w:r>
          </w:p>
        </w:tc>
      </w:tr>
      <w:tr>
        <w:trPr>
          <w:cantSplit/>
        </w:trPr>
        <w:tc>
          <w:tcPr>
            <w:tcW w:type="dxa" w:w="2863"/>
          </w:tcPr>
          <w:p>
            <w:pPr>
              <w:spacing w:after="0"/>
              <w:jc w:val="left"/>
            </w:pPr>
            <w:r/>
            <w:r>
              <w:rPr>
                <w:rFonts w:ascii="Calibri" w:hAnsi="Calibri"/>
                <w:b/>
                <w:color w:val="1A1A1A"/>
                <w:sz w:val="24"/>
              </w:rPr>
              <w:t>Fecho</w:t>
            </w:r>
          </w:p>
        </w:tc>
        <w:tc>
          <w:tcPr>
            <w:tcW w:type="dxa" w:w="6209"/>
          </w:tcPr>
          <w:p>
            <w:pPr>
              <w:spacing w:after="0"/>
              <w:jc w:val="left"/>
            </w:pPr>
            <w:r/>
            <w:r>
              <w:rPr>
                <w:rFonts w:ascii="Calibri" w:hAnsi="Calibri"/>
                <w:b w:val="0"/>
                <w:color w:val="1A1A1A"/>
                <w:sz w:val="24"/>
              </w:rPr>
              <w:t>Respeitosamente,</w:t>
            </w:r>
          </w:p>
          <w:p>
            <w:pPr>
              <w:spacing w:after="0"/>
              <w:jc w:val="left"/>
            </w:pPr>
            <w:r>
              <w:rPr>
                <w:rFonts w:ascii="Calibri" w:hAnsi="Calibri"/>
                <w:b w:val="0"/>
                <w:color w:val="1A1A1A"/>
                <w:sz w:val="24"/>
              </w:rPr>
              <w:t>Núcleo 5 · Inovação, Tecnologias e Segurança Clínica</w:t>
            </w:r>
          </w:p>
          <w:p>
            <w:pPr>
              <w:spacing w:after="0"/>
              <w:jc w:val="left"/>
            </w:pPr>
            <w:r>
              <w:rPr>
                <w:rFonts w:ascii="Calibri" w:hAnsi="Calibri"/>
                <w:b w:val="0"/>
                <w:color w:val="1A1A1A"/>
                <w:sz w:val="24"/>
              </w:rPr>
              <w:t>Câmara Técnica de Harmonização Orofacial · CRO-MG</w:t>
            </w:r>
          </w:p>
        </w:tc>
      </w:tr>
    </w:tbl>
    <w:p>
      <w:r>
        <w:br w:type="page"/>
      </w:r>
    </w:p>
    <w:p>
      <w:pPr>
        <w:keepNext/>
        <w:spacing w:before="360" w:after="160"/>
        <w:jc w:val="left"/>
        <w:pBdr>
          <w:bottom w:val="single" w:sz="8" w:space="4" w:color="143C64"/>
        </w:pBdr>
      </w:pPr>
      <w:r>
        <w:rPr>
          <w:rFonts w:ascii="Calibri" w:hAnsi="Calibri"/>
          <w:b/>
          <w:color w:val="143C64"/>
          <w:sz w:val="30"/>
        </w:rPr>
        <w:t>3  Anexo I. Relação dos produtos submetidos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784"/>
        <w:gridCol w:w="4324"/>
        <w:gridCol w:w="1596"/>
        <w:gridCol w:w="2368"/>
      </w:tblGrid>
      <w:tr>
        <w:trPr>
          <w:cantSplit/>
          <w:tblHeader/>
        </w:trPr>
        <w:tc>
          <w:tcPr>
            <w:tcW w:type="dxa" w:w="784"/>
            <w:shd w:val="clear" w:color="auto" w:fill="143C64"/>
          </w:tcPr>
          <w:p>
            <w:pPr>
              <w:spacing w:after="0"/>
              <w:jc w:val="left"/>
            </w:pPr>
            <w:r/>
            <w:r>
              <w:rPr>
                <w:rFonts w:ascii="Calibri" w:hAnsi="Calibri"/>
                <w:b/>
                <w:color w:val="FFFFFF"/>
                <w:sz w:val="24"/>
              </w:rPr>
              <w:t>Nº</w:t>
            </w:r>
          </w:p>
        </w:tc>
        <w:tc>
          <w:tcPr>
            <w:tcW w:type="dxa" w:w="4324"/>
            <w:shd w:val="clear" w:color="auto" w:fill="143C64"/>
          </w:tcPr>
          <w:p>
            <w:pPr>
              <w:spacing w:after="0"/>
              <w:jc w:val="left"/>
            </w:pPr>
            <w:r/>
            <w:r>
              <w:rPr>
                <w:rFonts w:ascii="Calibri" w:hAnsi="Calibri"/>
                <w:b/>
                <w:color w:val="FFFFFF"/>
                <w:sz w:val="24"/>
              </w:rPr>
              <w:t>Documento</w:t>
            </w:r>
          </w:p>
        </w:tc>
        <w:tc>
          <w:tcPr>
            <w:tcW w:type="dxa" w:w="1596"/>
            <w:shd w:val="clear" w:color="auto" w:fill="143C64"/>
          </w:tcPr>
          <w:p>
            <w:pPr>
              <w:spacing w:after="0"/>
              <w:jc w:val="left"/>
            </w:pPr>
            <w:r/>
            <w:r>
              <w:rPr>
                <w:rFonts w:ascii="Calibri" w:hAnsi="Calibri"/>
                <w:b/>
                <w:color w:val="FFFFFF"/>
                <w:sz w:val="24"/>
              </w:rPr>
              <w:t>Versão</w:t>
            </w:r>
          </w:p>
        </w:tc>
        <w:tc>
          <w:tcPr>
            <w:tcW w:type="dxa" w:w="2368"/>
            <w:shd w:val="clear" w:color="auto" w:fill="143C64"/>
          </w:tcPr>
          <w:p>
            <w:pPr>
              <w:spacing w:after="0"/>
              <w:jc w:val="left"/>
            </w:pPr>
            <w:r/>
            <w:r>
              <w:rPr>
                <w:rFonts w:ascii="Calibri" w:hAnsi="Calibri"/>
                <w:b/>
                <w:color w:val="FFFFFF"/>
                <w:sz w:val="24"/>
              </w:rPr>
              <w:t>Ata de aprovação interna</w:t>
            </w:r>
          </w:p>
        </w:tc>
      </w:tr>
      <w:tr>
        <w:trPr>
          <w:cantSplit/>
        </w:trPr>
        <w:tc>
          <w:tcPr>
            <w:tcW w:type="dxa" w:w="784"/>
          </w:tcPr>
          <w:p>
            <w:pPr>
              <w:spacing w:after="0"/>
              <w:jc w:val="left"/>
            </w:pPr>
            <w:r/>
            <w:r>
              <w:rPr>
                <w:rFonts w:ascii="Calibri" w:hAnsi="Calibri"/>
                <w:b w:val="0"/>
                <w:color w:val="1A1A1A"/>
                <w:sz w:val="24"/>
              </w:rPr>
              <w:t>00</w:t>
            </w:r>
          </w:p>
        </w:tc>
        <w:tc>
          <w:tcPr>
            <w:tcW w:type="dxa" w:w="4324"/>
          </w:tcPr>
          <w:p>
            <w:pPr>
              <w:spacing w:after="0"/>
              <w:jc w:val="left"/>
            </w:pPr>
            <w:r/>
            <w:r>
              <w:rPr>
                <w:rFonts w:ascii="Calibri" w:hAnsi="Calibri"/>
                <w:b w:val="0"/>
                <w:color w:val="1A1A1A"/>
                <w:sz w:val="24"/>
              </w:rPr>
              <w:t>Índice Mestre e Controle de Entregas</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01</w:t>
            </w:r>
          </w:p>
        </w:tc>
        <w:tc>
          <w:tcPr>
            <w:tcW w:type="dxa" w:w="4324"/>
            <w:shd w:val="clear" w:color="auto" w:fill="F2F5F8"/>
          </w:tcPr>
          <w:p>
            <w:pPr>
              <w:spacing w:after="0"/>
              <w:jc w:val="left"/>
            </w:pPr>
            <w:r/>
            <w:r>
              <w:rPr>
                <w:rFonts w:ascii="Calibri" w:hAnsi="Calibri"/>
                <w:b w:val="0"/>
                <w:color w:val="1A1A1A"/>
                <w:sz w:val="24"/>
              </w:rPr>
              <w:t>Programa HOF Segura 2026</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02</w:t>
            </w:r>
          </w:p>
        </w:tc>
        <w:tc>
          <w:tcPr>
            <w:tcW w:type="dxa" w:w="4324"/>
          </w:tcPr>
          <w:p>
            <w:pPr>
              <w:spacing w:after="0"/>
              <w:jc w:val="left"/>
            </w:pPr>
            <w:r/>
            <w:r>
              <w:rPr>
                <w:rFonts w:ascii="Calibri" w:hAnsi="Calibri"/>
                <w:b w:val="0"/>
                <w:color w:val="1A1A1A"/>
                <w:sz w:val="24"/>
              </w:rPr>
              <w:t>Mapa Normativo Consolidado</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03</w:t>
            </w:r>
          </w:p>
        </w:tc>
        <w:tc>
          <w:tcPr>
            <w:tcW w:type="dxa" w:w="4324"/>
            <w:shd w:val="clear" w:color="auto" w:fill="F2F5F8"/>
          </w:tcPr>
          <w:p>
            <w:pPr>
              <w:spacing w:after="0"/>
              <w:jc w:val="left"/>
            </w:pPr>
            <w:r/>
            <w:r>
              <w:rPr>
                <w:rFonts w:ascii="Calibri" w:hAnsi="Calibri"/>
                <w:b w:val="0"/>
                <w:color w:val="1A1A1A"/>
                <w:sz w:val="24"/>
              </w:rPr>
              <w:t>Minutas de Consulta Formal</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04</w:t>
            </w:r>
          </w:p>
        </w:tc>
        <w:tc>
          <w:tcPr>
            <w:tcW w:type="dxa" w:w="4324"/>
          </w:tcPr>
          <w:p>
            <w:pPr>
              <w:spacing w:after="0"/>
              <w:jc w:val="left"/>
            </w:pPr>
            <w:r/>
            <w:r>
              <w:rPr>
                <w:rFonts w:ascii="Calibri" w:hAnsi="Calibri"/>
                <w:b w:val="0"/>
                <w:color w:val="1A1A1A"/>
                <w:sz w:val="24"/>
              </w:rPr>
              <w:t>Protocolo de Levantamento</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05</w:t>
            </w:r>
          </w:p>
        </w:tc>
        <w:tc>
          <w:tcPr>
            <w:tcW w:type="dxa" w:w="4324"/>
            <w:shd w:val="clear" w:color="auto" w:fill="F2F5F8"/>
          </w:tcPr>
          <w:p>
            <w:pPr>
              <w:spacing w:after="0"/>
              <w:jc w:val="left"/>
            </w:pPr>
            <w:r/>
            <w:r>
              <w:rPr>
                <w:rFonts w:ascii="Calibri" w:hAnsi="Calibri"/>
                <w:b w:val="0"/>
                <w:color w:val="1A1A1A"/>
                <w:sz w:val="24"/>
              </w:rPr>
              <w:t>Modelo Mestre de POP</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06</w:t>
            </w:r>
          </w:p>
        </w:tc>
        <w:tc>
          <w:tcPr>
            <w:tcW w:type="dxa" w:w="4324"/>
          </w:tcPr>
          <w:p>
            <w:pPr>
              <w:spacing w:after="0"/>
              <w:jc w:val="left"/>
            </w:pPr>
            <w:r/>
            <w:r>
              <w:rPr>
                <w:rFonts w:ascii="Calibri" w:hAnsi="Calibri"/>
                <w:b w:val="0"/>
                <w:color w:val="1A1A1A"/>
                <w:sz w:val="24"/>
              </w:rPr>
              <w:t>Matriz de Avaliação Tecnológica</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07</w:t>
            </w:r>
          </w:p>
        </w:tc>
        <w:tc>
          <w:tcPr>
            <w:tcW w:type="dxa" w:w="4324"/>
            <w:shd w:val="clear" w:color="auto" w:fill="F2F5F8"/>
          </w:tcPr>
          <w:p>
            <w:pPr>
              <w:spacing w:after="0"/>
              <w:jc w:val="left"/>
            </w:pPr>
            <w:r/>
            <w:r>
              <w:rPr>
                <w:rFonts w:ascii="Calibri" w:hAnsi="Calibri"/>
                <w:b w:val="0"/>
                <w:color w:val="1A1A1A"/>
                <w:sz w:val="24"/>
              </w:rPr>
              <w:t>Fluxograma Estadual de Intercorrências</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08</w:t>
            </w:r>
          </w:p>
        </w:tc>
        <w:tc>
          <w:tcPr>
            <w:tcW w:type="dxa" w:w="4324"/>
          </w:tcPr>
          <w:p>
            <w:pPr>
              <w:spacing w:after="0"/>
              <w:jc w:val="left"/>
            </w:pPr>
            <w:r/>
            <w:r>
              <w:rPr>
                <w:rFonts w:ascii="Calibri" w:hAnsi="Calibri"/>
                <w:b w:val="0"/>
                <w:color w:val="1A1A1A"/>
                <w:sz w:val="24"/>
              </w:rPr>
              <w:t>Guia de Diagnóstico Precoce</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09</w:t>
            </w:r>
          </w:p>
        </w:tc>
        <w:tc>
          <w:tcPr>
            <w:tcW w:type="dxa" w:w="4324"/>
            <w:shd w:val="clear" w:color="auto" w:fill="F2F5F8"/>
          </w:tcPr>
          <w:p>
            <w:pPr>
              <w:spacing w:after="0"/>
              <w:jc w:val="left"/>
            </w:pPr>
            <w:r/>
            <w:r>
              <w:rPr>
                <w:rFonts w:ascii="Calibri" w:hAnsi="Calibri"/>
                <w:b w:val="0"/>
                <w:color w:val="1A1A1A"/>
                <w:sz w:val="24"/>
              </w:rPr>
              <w:t>Checklist de Segurança Clínica</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10</w:t>
            </w:r>
          </w:p>
        </w:tc>
        <w:tc>
          <w:tcPr>
            <w:tcW w:type="dxa" w:w="4324"/>
          </w:tcPr>
          <w:p>
            <w:pPr>
              <w:spacing w:after="0"/>
              <w:jc w:val="left"/>
            </w:pPr>
            <w:r/>
            <w:r>
              <w:rPr>
                <w:rFonts w:ascii="Calibri" w:hAnsi="Calibri"/>
                <w:b w:val="0"/>
                <w:color w:val="1A1A1A"/>
                <w:sz w:val="24"/>
              </w:rPr>
              <w:t>Manual de Boas Práticas em Tecnologias</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11</w:t>
            </w:r>
          </w:p>
        </w:tc>
        <w:tc>
          <w:tcPr>
            <w:tcW w:type="dxa" w:w="4324"/>
            <w:shd w:val="clear" w:color="auto" w:fill="F2F5F8"/>
          </w:tcPr>
          <w:p>
            <w:pPr>
              <w:spacing w:after="0"/>
              <w:jc w:val="left"/>
            </w:pPr>
            <w:r/>
            <w:r>
              <w:rPr>
                <w:rFonts w:ascii="Calibri" w:hAnsi="Calibri"/>
                <w:b w:val="0"/>
                <w:color w:val="1A1A1A"/>
                <w:sz w:val="24"/>
              </w:rPr>
              <w:t>Relatório-piloto de Tecnologias Emergentes</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12</w:t>
            </w:r>
          </w:p>
        </w:tc>
        <w:tc>
          <w:tcPr>
            <w:tcW w:type="dxa" w:w="4324"/>
          </w:tcPr>
          <w:p>
            <w:pPr>
              <w:spacing w:after="0"/>
              <w:jc w:val="left"/>
            </w:pPr>
            <w:r/>
            <w:r>
              <w:rPr>
                <w:rFonts w:ascii="Calibri" w:hAnsi="Calibri"/>
                <w:b w:val="0"/>
                <w:color w:val="1A1A1A"/>
                <w:sz w:val="24"/>
              </w:rPr>
              <w:t>Matriz de Evidências e Referências</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13</w:t>
            </w:r>
          </w:p>
        </w:tc>
        <w:tc>
          <w:tcPr>
            <w:tcW w:type="dxa" w:w="4324"/>
            <w:shd w:val="clear" w:color="auto" w:fill="F2F5F8"/>
          </w:tcPr>
          <w:p>
            <w:pPr>
              <w:spacing w:after="0"/>
              <w:jc w:val="left"/>
            </w:pPr>
            <w:r/>
            <w:r>
              <w:rPr>
                <w:rFonts w:ascii="Calibri" w:hAnsi="Calibri"/>
                <w:b w:val="0"/>
                <w:color w:val="1A1A1A"/>
                <w:sz w:val="24"/>
              </w:rPr>
              <w:t>Relatório de Auditoria Técnica</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14</w:t>
            </w:r>
          </w:p>
        </w:tc>
        <w:tc>
          <w:tcPr>
            <w:tcW w:type="dxa" w:w="4324"/>
          </w:tcPr>
          <w:p>
            <w:pPr>
              <w:spacing w:after="0"/>
              <w:jc w:val="left"/>
            </w:pPr>
            <w:r/>
            <w:r>
              <w:rPr>
                <w:rFonts w:ascii="Calibri" w:hAnsi="Calibri"/>
                <w:b w:val="0"/>
                <w:color w:val="1A1A1A"/>
                <w:sz w:val="24"/>
              </w:rPr>
              <w:t>Quadro de Deliberação e Validação</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15</w:t>
            </w:r>
          </w:p>
        </w:tc>
        <w:tc>
          <w:tcPr>
            <w:tcW w:type="dxa" w:w="4324"/>
            <w:shd w:val="clear" w:color="auto" w:fill="F2F5F8"/>
          </w:tcPr>
          <w:p>
            <w:pPr>
              <w:spacing w:after="0"/>
              <w:jc w:val="left"/>
            </w:pPr>
            <w:r/>
            <w:r>
              <w:rPr>
                <w:rFonts w:ascii="Calibri" w:hAnsi="Calibri"/>
                <w:b w:val="0"/>
                <w:color w:val="1A1A1A"/>
                <w:sz w:val="24"/>
              </w:rPr>
              <w:t>Plano de Conteúdo para o Instagram</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16</w:t>
            </w:r>
          </w:p>
        </w:tc>
        <w:tc>
          <w:tcPr>
            <w:tcW w:type="dxa" w:w="4324"/>
          </w:tcPr>
          <w:p>
            <w:pPr>
              <w:spacing w:after="0"/>
              <w:jc w:val="left"/>
            </w:pPr>
            <w:r/>
            <w:r>
              <w:rPr>
                <w:rFonts w:ascii="Calibri" w:hAnsi="Calibri"/>
                <w:b w:val="0"/>
                <w:color w:val="1A1A1A"/>
                <w:sz w:val="24"/>
              </w:rPr>
              <w:t>Proposta HOF Segura Digital</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17</w:t>
            </w:r>
          </w:p>
        </w:tc>
        <w:tc>
          <w:tcPr>
            <w:tcW w:type="dxa" w:w="4324"/>
            <w:shd w:val="clear" w:color="auto" w:fill="F2F5F8"/>
          </w:tcPr>
          <w:p>
            <w:pPr>
              <w:spacing w:after="0"/>
              <w:jc w:val="left"/>
            </w:pPr>
            <w:r/>
            <w:r>
              <w:rPr>
                <w:rFonts w:ascii="Calibri" w:hAnsi="Calibri"/>
                <w:b w:val="0"/>
                <w:color w:val="1A1A1A"/>
                <w:sz w:val="24"/>
              </w:rPr>
              <w:t>Pacote de Comunicação HOF Segura</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18</w:t>
            </w:r>
          </w:p>
        </w:tc>
        <w:tc>
          <w:tcPr>
            <w:tcW w:type="dxa" w:w="4324"/>
          </w:tcPr>
          <w:p>
            <w:pPr>
              <w:spacing w:after="0"/>
              <w:jc w:val="left"/>
            </w:pPr>
            <w:r/>
            <w:r>
              <w:rPr>
                <w:rFonts w:ascii="Calibri" w:hAnsi="Calibri"/>
                <w:b w:val="0"/>
                <w:color w:val="1A1A1A"/>
                <w:sz w:val="24"/>
              </w:rPr>
              <w:t>Modelos de Termo de Consentimento</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19</w:t>
            </w:r>
          </w:p>
        </w:tc>
        <w:tc>
          <w:tcPr>
            <w:tcW w:type="dxa" w:w="4324"/>
            <w:shd w:val="clear" w:color="auto" w:fill="F2F5F8"/>
          </w:tcPr>
          <w:p>
            <w:pPr>
              <w:spacing w:after="0"/>
              <w:jc w:val="left"/>
            </w:pPr>
            <w:r/>
            <w:r>
              <w:rPr>
                <w:rFonts w:ascii="Calibri" w:hAnsi="Calibri"/>
                <w:b w:val="0"/>
                <w:color w:val="1A1A1A"/>
                <w:sz w:val="24"/>
              </w:rPr>
              <w:t>Instrumentos Operacionais do Serviço</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20</w:t>
            </w:r>
          </w:p>
        </w:tc>
        <w:tc>
          <w:tcPr>
            <w:tcW w:type="dxa" w:w="4324"/>
          </w:tcPr>
          <w:p>
            <w:pPr>
              <w:spacing w:after="0"/>
              <w:jc w:val="left"/>
            </w:pPr>
            <w:r/>
            <w:r>
              <w:rPr>
                <w:rFonts w:ascii="Calibri" w:hAnsi="Calibri"/>
                <w:b w:val="0"/>
                <w:color w:val="1A1A1A"/>
                <w:sz w:val="24"/>
              </w:rPr>
              <w:t>Caderno de POPs Completo</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21</w:t>
            </w:r>
          </w:p>
        </w:tc>
        <w:tc>
          <w:tcPr>
            <w:tcW w:type="dxa" w:w="4324"/>
            <w:shd w:val="clear" w:color="auto" w:fill="F2F5F8"/>
          </w:tcPr>
          <w:p>
            <w:pPr>
              <w:spacing w:after="0"/>
              <w:jc w:val="left"/>
            </w:pPr>
            <w:r/>
            <w:r>
              <w:rPr>
                <w:rFonts w:ascii="Calibri" w:hAnsi="Calibri"/>
                <w:b w:val="0"/>
                <w:color w:val="1A1A1A"/>
                <w:sz w:val="24"/>
              </w:rPr>
              <w:t>Cartões de Consulta Rápida</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22</w:t>
            </w:r>
          </w:p>
        </w:tc>
        <w:tc>
          <w:tcPr>
            <w:tcW w:type="dxa" w:w="4324"/>
          </w:tcPr>
          <w:p>
            <w:pPr>
              <w:spacing w:after="0"/>
              <w:jc w:val="left"/>
            </w:pPr>
            <w:r/>
            <w:r>
              <w:rPr>
                <w:rFonts w:ascii="Calibri" w:hAnsi="Calibri"/>
                <w:b w:val="0"/>
                <w:color w:val="1A1A1A"/>
                <w:sz w:val="24"/>
              </w:rPr>
              <w:t>Guia de Implantação no Serviço</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23</w:t>
            </w:r>
          </w:p>
        </w:tc>
        <w:tc>
          <w:tcPr>
            <w:tcW w:type="dxa" w:w="4324"/>
            <w:shd w:val="clear" w:color="auto" w:fill="F2F5F8"/>
          </w:tcPr>
          <w:p>
            <w:pPr>
              <w:spacing w:after="0"/>
              <w:jc w:val="left"/>
            </w:pPr>
            <w:r/>
            <w:r>
              <w:rPr>
                <w:rFonts w:ascii="Calibri" w:hAnsi="Calibri"/>
                <w:b w:val="0"/>
                <w:color w:val="1A1A1A"/>
                <w:sz w:val="24"/>
              </w:rPr>
              <w:t>Relatório de Prestação de Contas do Ciclo</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24</w:t>
            </w:r>
          </w:p>
        </w:tc>
        <w:tc>
          <w:tcPr>
            <w:tcW w:type="dxa" w:w="4324"/>
          </w:tcPr>
          <w:p>
            <w:pPr>
              <w:spacing w:after="0"/>
              <w:jc w:val="left"/>
            </w:pPr>
            <w:r/>
            <w:r>
              <w:rPr>
                <w:rFonts w:ascii="Calibri" w:hAnsi="Calibri"/>
                <w:b w:val="0"/>
                <w:color w:val="1A1A1A"/>
                <w:sz w:val="24"/>
              </w:rPr>
              <w:t>Caderno de Atas e Controle de Reuniões</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25</w:t>
            </w:r>
          </w:p>
        </w:tc>
        <w:tc>
          <w:tcPr>
            <w:tcW w:type="dxa" w:w="4324"/>
            <w:shd w:val="clear" w:color="auto" w:fill="F2F5F8"/>
          </w:tcPr>
          <w:p>
            <w:pPr>
              <w:spacing w:after="0"/>
              <w:jc w:val="left"/>
            </w:pPr>
            <w:r/>
            <w:r>
              <w:rPr>
                <w:rFonts w:ascii="Calibri" w:hAnsi="Calibri"/>
                <w:b w:val="0"/>
                <w:color w:val="1A1A1A"/>
                <w:sz w:val="24"/>
              </w:rPr>
              <w:t>Dossiê de Submissão à Diretoria Executiva</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26</w:t>
            </w:r>
          </w:p>
        </w:tc>
        <w:tc>
          <w:tcPr>
            <w:tcW w:type="dxa" w:w="4324"/>
          </w:tcPr>
          <w:p>
            <w:pPr>
              <w:spacing w:after="0"/>
              <w:jc w:val="left"/>
            </w:pPr>
            <w:r/>
            <w:r>
              <w:rPr>
                <w:rFonts w:ascii="Calibri" w:hAnsi="Calibri"/>
                <w:b w:val="0"/>
                <w:color w:val="1A1A1A"/>
                <w:sz w:val="24"/>
              </w:rPr>
              <w:t>Plano do Fórum de Tecnologias Emergentes</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27</w:t>
            </w:r>
          </w:p>
        </w:tc>
        <w:tc>
          <w:tcPr>
            <w:tcW w:type="dxa" w:w="4324"/>
            <w:shd w:val="clear" w:color="auto" w:fill="F2F5F8"/>
          </w:tcPr>
          <w:p>
            <w:pPr>
              <w:spacing w:after="0"/>
              <w:jc w:val="left"/>
            </w:pPr>
            <w:r/>
            <w:r>
              <w:rPr>
                <w:rFonts w:ascii="Calibri" w:hAnsi="Calibri"/>
                <w:b w:val="0"/>
                <w:color w:val="1A1A1A"/>
                <w:sz w:val="24"/>
              </w:rPr>
              <w:t>Nota Técnica sobre Conformidade Regulatória</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28</w:t>
            </w:r>
          </w:p>
        </w:tc>
        <w:tc>
          <w:tcPr>
            <w:tcW w:type="dxa" w:w="4324"/>
          </w:tcPr>
          <w:p>
            <w:pPr>
              <w:spacing w:after="0"/>
              <w:jc w:val="left"/>
            </w:pPr>
            <w:r/>
            <w:r>
              <w:rPr>
                <w:rFonts w:ascii="Calibri" w:hAnsi="Calibri"/>
                <w:b w:val="0"/>
                <w:color w:val="1A1A1A"/>
                <w:sz w:val="24"/>
              </w:rPr>
              <w:t>Comunicado sobre Uso Fora da Indicação Aprovada</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r>
        <w:trPr>
          <w:cantSplit/>
        </w:trPr>
        <w:tc>
          <w:tcPr>
            <w:tcW w:type="dxa" w:w="784"/>
            <w:shd w:val="clear" w:color="auto" w:fill="F2F5F8"/>
          </w:tcPr>
          <w:p>
            <w:pPr>
              <w:spacing w:after="0"/>
              <w:jc w:val="left"/>
            </w:pPr>
            <w:r/>
            <w:r>
              <w:rPr>
                <w:rFonts w:ascii="Calibri" w:hAnsi="Calibri"/>
                <w:b w:val="0"/>
                <w:color w:val="1A1A1A"/>
                <w:sz w:val="24"/>
              </w:rPr>
              <w:t>29</w:t>
            </w:r>
          </w:p>
        </w:tc>
        <w:tc>
          <w:tcPr>
            <w:tcW w:type="dxa" w:w="4324"/>
            <w:shd w:val="clear" w:color="auto" w:fill="F2F5F8"/>
          </w:tcPr>
          <w:p>
            <w:pPr>
              <w:spacing w:after="0"/>
              <w:jc w:val="left"/>
            </w:pPr>
            <w:r/>
            <w:r>
              <w:rPr>
                <w:rFonts w:ascii="Calibri" w:hAnsi="Calibri"/>
                <w:b w:val="0"/>
                <w:color w:val="1A1A1A"/>
                <w:sz w:val="24"/>
              </w:rPr>
              <w:t>Roteiros e Relatórios de Simulação</w:t>
            </w:r>
          </w:p>
        </w:tc>
        <w:tc>
          <w:tcPr>
            <w:tcW w:type="dxa" w:w="1596"/>
            <w:shd w:val="clear" w:color="auto" w:fill="F2F5F8"/>
          </w:tcPr>
          <w:p>
            <w:pPr>
              <w:spacing w:after="0"/>
              <w:jc w:val="left"/>
            </w:pPr>
            <w:r/>
            <w:r>
              <w:rPr>
                <w:rFonts w:ascii="Calibri" w:hAnsi="Calibri"/>
                <w:b w:val="0"/>
                <w:color w:val="1A1A1A"/>
                <w:sz w:val="24"/>
              </w:rPr>
              <w:t>___</w:t>
            </w:r>
          </w:p>
        </w:tc>
        <w:tc>
          <w:tcPr>
            <w:tcW w:type="dxa" w:w="2368"/>
            <w:shd w:val="clear" w:color="auto" w:fill="F2F5F8"/>
          </w:tcPr>
          <w:p>
            <w:pPr>
              <w:spacing w:after="0"/>
              <w:jc w:val="left"/>
            </w:pPr>
            <w:r/>
            <w:r>
              <w:rPr>
                <w:rFonts w:ascii="Calibri" w:hAnsi="Calibri"/>
                <w:b w:val="0"/>
                <w:color w:val="1A1A1A"/>
                <w:sz w:val="24"/>
              </w:rPr>
              <w:t>___</w:t>
            </w:r>
          </w:p>
        </w:tc>
      </w:tr>
      <w:tr>
        <w:trPr>
          <w:cantSplit/>
        </w:trPr>
        <w:tc>
          <w:tcPr>
            <w:tcW w:type="dxa" w:w="784"/>
          </w:tcPr>
          <w:p>
            <w:pPr>
              <w:spacing w:after="0"/>
              <w:jc w:val="left"/>
            </w:pPr>
            <w:r/>
            <w:r>
              <w:rPr>
                <w:rFonts w:ascii="Calibri" w:hAnsi="Calibri"/>
                <w:b w:val="0"/>
                <w:color w:val="1A1A1A"/>
                <w:sz w:val="24"/>
              </w:rPr>
              <w:t>30</w:t>
            </w:r>
          </w:p>
        </w:tc>
        <w:tc>
          <w:tcPr>
            <w:tcW w:type="dxa" w:w="4324"/>
          </w:tcPr>
          <w:p>
            <w:pPr>
              <w:spacing w:after="0"/>
              <w:jc w:val="left"/>
            </w:pPr>
            <w:r/>
            <w:r>
              <w:rPr>
                <w:rFonts w:ascii="Calibri" w:hAnsi="Calibri"/>
                <w:b w:val="0"/>
                <w:color w:val="1A1A1A"/>
                <w:sz w:val="24"/>
              </w:rPr>
              <w:t>Política de Inteligência Artificial e Proteção de Dados</w:t>
            </w:r>
          </w:p>
        </w:tc>
        <w:tc>
          <w:tcPr>
            <w:tcW w:type="dxa" w:w="1596"/>
          </w:tcPr>
          <w:p>
            <w:pPr>
              <w:spacing w:after="0"/>
              <w:jc w:val="left"/>
            </w:pPr>
            <w:r/>
            <w:r>
              <w:rPr>
                <w:rFonts w:ascii="Calibri" w:hAnsi="Calibri"/>
                <w:b w:val="0"/>
                <w:color w:val="1A1A1A"/>
                <w:sz w:val="24"/>
              </w:rPr>
              <w:t>___</w:t>
            </w:r>
          </w:p>
        </w:tc>
        <w:tc>
          <w:tcPr>
            <w:tcW w:type="dxa" w:w="236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4  Anexo II. Pendências que dependem de manifestação institucional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372"/>
        <w:gridCol w:w="2670"/>
        <w:gridCol w:w="3030"/>
      </w:tblGrid>
      <w:tr>
        <w:trPr>
          <w:cantSplit/>
          <w:tblHeader/>
        </w:trPr>
        <w:tc>
          <w:tcPr>
            <w:tcW w:type="dxa" w:w="3372"/>
            <w:shd w:val="clear" w:color="auto" w:fill="143C64"/>
          </w:tcPr>
          <w:p>
            <w:pPr>
              <w:spacing w:after="0"/>
              <w:jc w:val="left"/>
            </w:pPr>
            <w:r/>
            <w:r>
              <w:rPr>
                <w:rFonts w:ascii="Calibri" w:hAnsi="Calibri"/>
                <w:b/>
                <w:color w:val="FFFFFF"/>
                <w:sz w:val="24"/>
              </w:rPr>
              <w:t>Pendência</w:t>
            </w:r>
          </w:p>
        </w:tc>
        <w:tc>
          <w:tcPr>
            <w:tcW w:type="dxa" w:w="2670"/>
            <w:shd w:val="clear" w:color="auto" w:fill="143C64"/>
          </w:tcPr>
          <w:p>
            <w:pPr>
              <w:spacing w:after="0"/>
              <w:jc w:val="left"/>
            </w:pPr>
            <w:r/>
            <w:r>
              <w:rPr>
                <w:rFonts w:ascii="Calibri" w:hAnsi="Calibri"/>
                <w:b/>
                <w:color w:val="FFFFFF"/>
                <w:sz w:val="24"/>
              </w:rPr>
              <w:t>Natureza</w:t>
            </w:r>
          </w:p>
        </w:tc>
        <w:tc>
          <w:tcPr>
            <w:tcW w:type="dxa" w:w="3030"/>
            <w:shd w:val="clear" w:color="auto" w:fill="143C64"/>
          </w:tcPr>
          <w:p>
            <w:pPr>
              <w:spacing w:after="0"/>
              <w:jc w:val="left"/>
            </w:pPr>
            <w:r/>
            <w:r>
              <w:rPr>
                <w:rFonts w:ascii="Calibri" w:hAnsi="Calibri"/>
                <w:b/>
                <w:color w:val="FFFFFF"/>
                <w:sz w:val="24"/>
              </w:rPr>
              <w:t>Manifestação solicitada</w:t>
            </w:r>
          </w:p>
        </w:tc>
      </w:tr>
      <w:tr>
        <w:trPr>
          <w:cantSplit/>
        </w:trPr>
        <w:tc>
          <w:tcPr>
            <w:tcW w:type="dxa" w:w="3372"/>
          </w:tcPr>
          <w:p>
            <w:pPr>
              <w:spacing w:after="0"/>
              <w:jc w:val="left"/>
            </w:pPr>
            <w:r/>
            <w:r>
              <w:rPr>
                <w:rFonts w:ascii="Calibri" w:hAnsi="Calibri"/>
                <w:b w:val="0"/>
                <w:color w:val="1A1A1A"/>
                <w:sz w:val="24"/>
              </w:rPr>
              <w:t>Revisão jurídica dos modelos de termo de consentimento.</w:t>
            </w:r>
          </w:p>
        </w:tc>
        <w:tc>
          <w:tcPr>
            <w:tcW w:type="dxa" w:w="2670"/>
          </w:tcPr>
          <w:p>
            <w:pPr>
              <w:spacing w:after="0"/>
              <w:jc w:val="left"/>
            </w:pPr>
            <w:r/>
            <w:r>
              <w:rPr>
                <w:rFonts w:ascii="Calibri" w:hAnsi="Calibri"/>
                <w:b w:val="0"/>
                <w:color w:val="1A1A1A"/>
                <w:sz w:val="24"/>
              </w:rPr>
              <w:t>Competência da assessoria jurídica.</w:t>
            </w:r>
          </w:p>
        </w:tc>
        <w:tc>
          <w:tcPr>
            <w:tcW w:type="dxa" w:w="3030"/>
          </w:tcPr>
          <w:p>
            <w:pPr>
              <w:spacing w:after="0"/>
              <w:jc w:val="left"/>
            </w:pPr>
            <w:r/>
            <w:r>
              <w:rPr>
                <w:rFonts w:ascii="Calibri" w:hAnsi="Calibri"/>
                <w:b w:val="0"/>
                <w:color w:val="1A1A1A"/>
                <w:sz w:val="24"/>
              </w:rPr>
              <w:t>Validação do texto antes de qualquer utilização ou circulação.</w:t>
            </w:r>
          </w:p>
        </w:tc>
      </w:tr>
      <w:tr>
        <w:trPr>
          <w:cantSplit/>
        </w:trPr>
        <w:tc>
          <w:tcPr>
            <w:tcW w:type="dxa" w:w="3372"/>
            <w:shd w:val="clear" w:color="auto" w:fill="F2F5F8"/>
          </w:tcPr>
          <w:p>
            <w:pPr>
              <w:spacing w:after="0"/>
              <w:jc w:val="left"/>
            </w:pPr>
            <w:r/>
            <w:r>
              <w:rPr>
                <w:rFonts w:ascii="Calibri" w:hAnsi="Calibri"/>
                <w:b w:val="0"/>
                <w:color w:val="1A1A1A"/>
                <w:sz w:val="24"/>
              </w:rPr>
              <w:t>Definição de escopo para procedimentos apoiados por imagem e emissão de laudo.</w:t>
            </w:r>
          </w:p>
        </w:tc>
        <w:tc>
          <w:tcPr>
            <w:tcW w:type="dxa" w:w="2670"/>
            <w:shd w:val="clear" w:color="auto" w:fill="F2F5F8"/>
          </w:tcPr>
          <w:p>
            <w:pPr>
              <w:spacing w:after="0"/>
              <w:jc w:val="left"/>
            </w:pPr>
            <w:r/>
            <w:r>
              <w:rPr>
                <w:rFonts w:ascii="Calibri" w:hAnsi="Calibri"/>
                <w:b w:val="0"/>
                <w:color w:val="1A1A1A"/>
                <w:sz w:val="24"/>
              </w:rPr>
              <w:t>Matéria sob discussão judicial.</w:t>
            </w:r>
          </w:p>
        </w:tc>
        <w:tc>
          <w:tcPr>
            <w:tcW w:type="dxa" w:w="3030"/>
            <w:shd w:val="clear" w:color="auto" w:fill="F2F5F8"/>
          </w:tcPr>
          <w:p>
            <w:pPr>
              <w:spacing w:after="0"/>
              <w:jc w:val="left"/>
            </w:pPr>
            <w:r/>
            <w:r>
              <w:rPr>
                <w:rFonts w:ascii="Calibri" w:hAnsi="Calibri"/>
                <w:b w:val="0"/>
                <w:color w:val="1A1A1A"/>
                <w:sz w:val="24"/>
              </w:rPr>
              <w:t>Orientação institucional sobre a produção documental suspensa.</w:t>
            </w:r>
          </w:p>
        </w:tc>
      </w:tr>
      <w:tr>
        <w:trPr>
          <w:cantSplit/>
        </w:trPr>
        <w:tc>
          <w:tcPr>
            <w:tcW w:type="dxa" w:w="3372"/>
          </w:tcPr>
          <w:p>
            <w:pPr>
              <w:spacing w:after="0"/>
              <w:jc w:val="left"/>
            </w:pPr>
            <w:r/>
            <w:r>
              <w:rPr>
                <w:rFonts w:ascii="Calibri" w:hAnsi="Calibri"/>
                <w:b w:val="0"/>
                <w:color w:val="1A1A1A"/>
                <w:sz w:val="24"/>
              </w:rPr>
              <w:t>Composição do kit de resposta a intercorrências para o serviço odontológico.</w:t>
            </w:r>
          </w:p>
        </w:tc>
        <w:tc>
          <w:tcPr>
            <w:tcW w:type="dxa" w:w="2670"/>
          </w:tcPr>
          <w:p>
            <w:pPr>
              <w:spacing w:after="0"/>
              <w:jc w:val="left"/>
            </w:pPr>
            <w:r/>
            <w:r>
              <w:rPr>
                <w:rFonts w:ascii="Calibri" w:hAnsi="Calibri"/>
                <w:b w:val="0"/>
                <w:color w:val="1A1A1A"/>
                <w:sz w:val="24"/>
              </w:rPr>
              <w:t>Depende de apoio jurídico e sanitário.</w:t>
            </w:r>
          </w:p>
        </w:tc>
        <w:tc>
          <w:tcPr>
            <w:tcW w:type="dxa" w:w="3030"/>
          </w:tcPr>
          <w:p>
            <w:pPr>
              <w:spacing w:after="0"/>
              <w:jc w:val="left"/>
            </w:pPr>
            <w:r/>
            <w:r>
              <w:rPr>
                <w:rFonts w:ascii="Calibri" w:hAnsi="Calibri"/>
                <w:b w:val="0"/>
                <w:color w:val="1A1A1A"/>
                <w:sz w:val="24"/>
              </w:rPr>
              <w:t>Definição institucional ou autorização para consulta a órgão competente.</w:t>
            </w:r>
          </w:p>
        </w:tc>
      </w:tr>
      <w:tr>
        <w:trPr>
          <w:cantSplit/>
        </w:trPr>
        <w:tc>
          <w:tcPr>
            <w:tcW w:type="dxa" w:w="3372"/>
            <w:shd w:val="clear" w:color="auto" w:fill="F2F5F8"/>
          </w:tcPr>
          <w:p>
            <w:pPr>
              <w:spacing w:after="0"/>
              <w:jc w:val="left"/>
            </w:pPr>
            <w:r/>
            <w:r>
              <w:rPr>
                <w:rFonts w:ascii="Calibri" w:hAnsi="Calibri"/>
                <w:b w:val="0"/>
                <w:color w:val="1A1A1A"/>
                <w:sz w:val="24"/>
              </w:rPr>
              <w:t>Protocolo das consultas formais à Vigilância Sanitária Estadual.</w:t>
            </w:r>
          </w:p>
        </w:tc>
        <w:tc>
          <w:tcPr>
            <w:tcW w:type="dxa" w:w="2670"/>
            <w:shd w:val="clear" w:color="auto" w:fill="F2F5F8"/>
          </w:tcPr>
          <w:p>
            <w:pPr>
              <w:spacing w:after="0"/>
              <w:jc w:val="left"/>
            </w:pPr>
            <w:r/>
            <w:r>
              <w:rPr>
                <w:rFonts w:ascii="Calibri" w:hAnsi="Calibri"/>
                <w:b w:val="0"/>
                <w:color w:val="1A1A1A"/>
                <w:sz w:val="24"/>
              </w:rPr>
              <w:t>Ato da Diretoria Executiva.</w:t>
            </w:r>
          </w:p>
        </w:tc>
        <w:tc>
          <w:tcPr>
            <w:tcW w:type="dxa" w:w="3030"/>
            <w:shd w:val="clear" w:color="auto" w:fill="F2F5F8"/>
          </w:tcPr>
          <w:p>
            <w:pPr>
              <w:spacing w:after="0"/>
              <w:jc w:val="left"/>
            </w:pPr>
            <w:r/>
            <w:r>
              <w:rPr>
                <w:rFonts w:ascii="Calibri" w:hAnsi="Calibri"/>
                <w:b w:val="0"/>
                <w:color w:val="1A1A1A"/>
                <w:sz w:val="24"/>
              </w:rPr>
              <w:t>Autorização e protocolo das minutas do documento 03.</w:t>
            </w:r>
          </w:p>
        </w:tc>
      </w:tr>
      <w:tr>
        <w:trPr>
          <w:cantSplit/>
        </w:trPr>
        <w:tc>
          <w:tcPr>
            <w:tcW w:type="dxa" w:w="3372"/>
          </w:tcPr>
          <w:p>
            <w:pPr>
              <w:spacing w:after="0"/>
              <w:jc w:val="left"/>
            </w:pPr>
            <w:r/>
            <w:r>
              <w:rPr>
                <w:rFonts w:ascii="Calibri" w:hAnsi="Calibri"/>
                <w:b w:val="0"/>
                <w:color w:val="1A1A1A"/>
                <w:sz w:val="24"/>
              </w:rPr>
              <w:t>Escopo autorizado de publicação externa e uso da identidade visual.</w:t>
            </w:r>
          </w:p>
        </w:tc>
        <w:tc>
          <w:tcPr>
            <w:tcW w:type="dxa" w:w="2670"/>
          </w:tcPr>
          <w:p>
            <w:pPr>
              <w:spacing w:after="0"/>
              <w:jc w:val="left"/>
            </w:pPr>
            <w:r/>
            <w:r>
              <w:rPr>
                <w:rFonts w:ascii="Calibri" w:hAnsi="Calibri"/>
                <w:b w:val="0"/>
                <w:color w:val="1A1A1A"/>
                <w:sz w:val="24"/>
              </w:rPr>
              <w:t>Competência da Diretoria e da Comunicação.</w:t>
            </w:r>
          </w:p>
        </w:tc>
        <w:tc>
          <w:tcPr>
            <w:tcW w:type="dxa" w:w="3030"/>
          </w:tcPr>
          <w:p>
            <w:pPr>
              <w:spacing w:after="0"/>
              <w:jc w:val="left"/>
            </w:pPr>
            <w:r/>
            <w:r>
              <w:rPr>
                <w:rFonts w:ascii="Calibri" w:hAnsi="Calibri"/>
                <w:b w:val="0"/>
                <w:color w:val="1A1A1A"/>
                <w:sz w:val="24"/>
              </w:rPr>
              <w:t>Definição do que pode ser publicado e em que forma.</w:t>
            </w:r>
          </w:p>
        </w:tc>
      </w:tr>
      <w:tr>
        <w:trPr>
          <w:cantSplit/>
        </w:trPr>
        <w:tc>
          <w:tcPr>
            <w:tcW w:type="dxa" w:w="3372"/>
            <w:shd w:val="clear" w:color="auto" w:fill="F2F5F8"/>
          </w:tcPr>
          <w:p>
            <w:pPr>
              <w:spacing w:after="0"/>
              <w:jc w:val="left"/>
            </w:pPr>
            <w:r/>
            <w:r>
              <w:rPr>
                <w:rFonts w:ascii="Calibri" w:hAnsi="Calibri"/>
                <w:b w:val="0"/>
                <w:color w:val="1A1A1A"/>
                <w:sz w:val="24"/>
              </w:rPr>
              <w:t>Número de dimensões do indicador da Meta M9.</w:t>
            </w:r>
          </w:p>
        </w:tc>
        <w:tc>
          <w:tcPr>
            <w:tcW w:type="dxa" w:w="2670"/>
            <w:shd w:val="clear" w:color="auto" w:fill="F2F5F8"/>
          </w:tcPr>
          <w:p>
            <w:pPr>
              <w:spacing w:after="0"/>
              <w:jc w:val="left"/>
            </w:pPr>
            <w:r/>
            <w:r>
              <w:rPr>
                <w:rFonts w:ascii="Calibri" w:hAnsi="Calibri"/>
                <w:b w:val="0"/>
                <w:color w:val="1A1A1A"/>
                <w:sz w:val="24"/>
              </w:rPr>
              <w:t>Divergência entre indicador aprovado e entrega.</w:t>
            </w:r>
          </w:p>
        </w:tc>
        <w:tc>
          <w:tcPr>
            <w:tcW w:type="dxa" w:w="3030"/>
            <w:shd w:val="clear" w:color="auto" w:fill="F2F5F8"/>
          </w:tcPr>
          <w:p>
            <w:pPr>
              <w:spacing w:after="0"/>
              <w:jc w:val="left"/>
            </w:pPr>
            <w:r/>
            <w:r>
              <w:rPr>
                <w:rFonts w:ascii="Calibri" w:hAnsi="Calibri"/>
                <w:b w:val="0"/>
                <w:color w:val="1A1A1A"/>
                <w:sz w:val="24"/>
              </w:rPr>
              <w:t>Atualização do indicador de seis para oito dimensões, ou orientação em contrário.</w:t>
            </w:r>
          </w:p>
        </w:tc>
      </w:tr>
      <w:tr>
        <w:trPr>
          <w:cantSplit/>
        </w:trPr>
        <w:tc>
          <w:tcPr>
            <w:tcW w:type="dxa" w:w="3372"/>
          </w:tcPr>
          <w:p>
            <w:pPr>
              <w:spacing w:after="0"/>
              <w:jc w:val="left"/>
            </w:pPr>
            <w:r/>
            <w:r>
              <w:rPr>
                <w:rFonts w:ascii="Calibri" w:hAnsi="Calibri"/>
                <w:b w:val="0"/>
                <w:color w:val="1A1A1A"/>
                <w:sz w:val="24"/>
              </w:rPr>
              <w:t>Conteúdo integral das Resoluções CFO nº 283, 284 e 285 de 2026.</w:t>
            </w:r>
          </w:p>
        </w:tc>
        <w:tc>
          <w:tcPr>
            <w:tcW w:type="dxa" w:w="2670"/>
          </w:tcPr>
          <w:p>
            <w:pPr>
              <w:spacing w:after="0"/>
              <w:jc w:val="left"/>
            </w:pPr>
            <w:r/>
            <w:r>
              <w:rPr>
                <w:rFonts w:ascii="Calibri" w:hAnsi="Calibri"/>
                <w:b w:val="0"/>
                <w:color w:val="1A1A1A"/>
                <w:sz w:val="24"/>
              </w:rPr>
              <w:t>Consulta não documentada.</w:t>
            </w:r>
          </w:p>
        </w:tc>
        <w:tc>
          <w:tcPr>
            <w:tcW w:type="dxa" w:w="3030"/>
          </w:tcPr>
          <w:p>
            <w:pPr>
              <w:spacing w:after="0"/>
              <w:jc w:val="left"/>
            </w:pPr>
            <w:r/>
            <w:r>
              <w:rPr>
                <w:rFonts w:ascii="Calibri" w:hAnsi="Calibri"/>
                <w:b w:val="0"/>
                <w:color w:val="1A1A1A"/>
                <w:sz w:val="24"/>
              </w:rPr>
              <w:t>Designação de responsável para consulta ao sistema oficial de atos.</w:t>
            </w:r>
          </w:p>
        </w:tc>
      </w:tr>
    </w:tbl>
    <w:p>
      <w:pPr>
        <w:keepNext/>
        <w:spacing w:before="360" w:after="160"/>
        <w:jc w:val="left"/>
        <w:pBdr>
          <w:bottom w:val="single" w:sz="8" w:space="4" w:color="143C64"/>
        </w:pBdr>
      </w:pPr>
      <w:r>
        <w:rPr>
          <w:rFonts w:ascii="Calibri" w:hAnsi="Calibri"/>
          <w:b/>
          <w:color w:val="143C64"/>
          <w:sz w:val="30"/>
        </w:rPr>
        <w:t>5  Termo de entrega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78"/>
        <w:gridCol w:w="5294"/>
      </w:tblGrid>
      <w:tr>
        <w:trPr>
          <w:cantSplit/>
          <w:tblHeader/>
        </w:trPr>
        <w:tc>
          <w:tcPr>
            <w:tcW w:type="dxa" w:w="3778"/>
            <w:shd w:val="clear" w:color="auto" w:fill="143C64"/>
          </w:tcPr>
          <w:p>
            <w:pPr>
              <w:spacing w:after="0"/>
              <w:jc w:val="left"/>
            </w:pPr>
            <w:r/>
            <w:r>
              <w:rPr>
                <w:rFonts w:ascii="Calibri" w:hAnsi="Calibri"/>
                <w:b/>
                <w:color w:val="FFFFFF"/>
                <w:sz w:val="24"/>
              </w:rPr>
              <w:t>Campo</w:t>
            </w:r>
          </w:p>
        </w:tc>
        <w:tc>
          <w:tcPr>
            <w:tcW w:type="dxa" w:w="5294"/>
            <w:shd w:val="clear" w:color="auto" w:fill="143C64"/>
          </w:tcPr>
          <w:p>
            <w:pPr>
              <w:spacing w:after="0"/>
              <w:jc w:val="left"/>
            </w:pPr>
            <w:r/>
            <w:r>
              <w:rPr>
                <w:rFonts w:ascii="Calibri" w:hAnsi="Calibri"/>
                <w:b/>
                <w:color w:val="FFFFFF"/>
                <w:sz w:val="24"/>
              </w:rPr>
              <w:t>Registro</w:t>
            </w:r>
          </w:p>
        </w:tc>
      </w:tr>
      <w:tr>
        <w:trPr>
          <w:cantSplit/>
        </w:trPr>
        <w:tc>
          <w:tcPr>
            <w:tcW w:type="dxa" w:w="3778"/>
          </w:tcPr>
          <w:p>
            <w:pPr>
              <w:spacing w:after="0"/>
              <w:jc w:val="left"/>
            </w:pPr>
            <w:r/>
            <w:r>
              <w:rPr>
                <w:rFonts w:ascii="Calibri" w:hAnsi="Calibri"/>
                <w:b w:val="0"/>
                <w:color w:val="1A1A1A"/>
                <w:sz w:val="24"/>
              </w:rPr>
              <w:t>Entregue por</w:t>
            </w:r>
          </w:p>
        </w:tc>
        <w:tc>
          <w:tcPr>
            <w:tcW w:type="dxa" w:w="5294"/>
          </w:tcPr>
          <w:p>
            <w:pPr>
              <w:spacing w:after="0"/>
              <w:jc w:val="left"/>
            </w:pPr>
            <w:r/>
            <w:r>
              <w:rPr>
                <w:rFonts w:ascii="Calibri" w:hAnsi="Calibri"/>
                <w:b w:val="0"/>
                <w:color w:val="1A1A1A"/>
                <w:sz w:val="24"/>
              </w:rPr>
              <w:t>Núcleo 5 · Câmara Técnica de Harmonização Orofacial · CRO-MG</w:t>
            </w:r>
          </w:p>
        </w:tc>
      </w:tr>
      <w:tr>
        <w:trPr>
          <w:cantSplit/>
        </w:trPr>
        <w:tc>
          <w:tcPr>
            <w:tcW w:type="dxa" w:w="3778"/>
            <w:shd w:val="clear" w:color="auto" w:fill="F2F5F8"/>
          </w:tcPr>
          <w:p>
            <w:pPr>
              <w:spacing w:after="0"/>
              <w:jc w:val="left"/>
            </w:pPr>
            <w:r/>
            <w:r>
              <w:rPr>
                <w:rFonts w:ascii="Calibri" w:hAnsi="Calibri"/>
                <w:b w:val="0"/>
                <w:color w:val="1A1A1A"/>
                <w:sz w:val="24"/>
              </w:rPr>
              <w:t>Data da entrega</w:t>
            </w:r>
          </w:p>
        </w:tc>
        <w:tc>
          <w:tcPr>
            <w:tcW w:type="dxa" w:w="5294"/>
            <w:shd w:val="clear" w:color="auto" w:fill="F2F5F8"/>
          </w:tcPr>
          <w:p>
            <w:pPr>
              <w:spacing w:after="0"/>
              <w:jc w:val="left"/>
            </w:pPr>
            <w:r/>
            <w:r>
              <w:rPr>
                <w:rFonts w:ascii="Calibri" w:hAnsi="Calibri"/>
                <w:b w:val="0"/>
                <w:color w:val="1A1A1A"/>
                <w:sz w:val="24"/>
              </w:rPr>
              <w:t>___</w:t>
            </w:r>
          </w:p>
        </w:tc>
      </w:tr>
      <w:tr>
        <w:trPr>
          <w:cantSplit/>
        </w:trPr>
        <w:tc>
          <w:tcPr>
            <w:tcW w:type="dxa" w:w="3778"/>
          </w:tcPr>
          <w:p>
            <w:pPr>
              <w:spacing w:after="0"/>
              <w:jc w:val="left"/>
            </w:pPr>
            <w:r/>
            <w:r>
              <w:rPr>
                <w:rFonts w:ascii="Calibri" w:hAnsi="Calibri"/>
                <w:b w:val="0"/>
                <w:color w:val="1A1A1A"/>
                <w:sz w:val="24"/>
              </w:rPr>
              <w:t>Número do protocolo</w:t>
            </w:r>
          </w:p>
        </w:tc>
        <w:tc>
          <w:tcPr>
            <w:tcW w:type="dxa" w:w="5294"/>
          </w:tcPr>
          <w:p>
            <w:pPr>
              <w:spacing w:after="0"/>
              <w:jc w:val="left"/>
            </w:pPr>
            <w:r/>
            <w:r>
              <w:rPr>
                <w:rFonts w:ascii="Calibri" w:hAnsi="Calibri"/>
                <w:b w:val="0"/>
                <w:color w:val="1A1A1A"/>
                <w:sz w:val="24"/>
              </w:rPr>
              <w:t>___</w:t>
            </w:r>
          </w:p>
        </w:tc>
      </w:tr>
      <w:tr>
        <w:trPr>
          <w:cantSplit/>
        </w:trPr>
        <w:tc>
          <w:tcPr>
            <w:tcW w:type="dxa" w:w="3778"/>
            <w:shd w:val="clear" w:color="auto" w:fill="F2F5F8"/>
          </w:tcPr>
          <w:p>
            <w:pPr>
              <w:spacing w:after="0"/>
              <w:jc w:val="left"/>
            </w:pPr>
            <w:r/>
            <w:r>
              <w:rPr>
                <w:rFonts w:ascii="Calibri" w:hAnsi="Calibri"/>
                <w:b w:val="0"/>
                <w:color w:val="1A1A1A"/>
                <w:sz w:val="24"/>
              </w:rPr>
              <w:t>Recebido por</w:t>
            </w:r>
          </w:p>
        </w:tc>
        <w:tc>
          <w:tcPr>
            <w:tcW w:type="dxa" w:w="5294"/>
            <w:shd w:val="clear" w:color="auto" w:fill="F2F5F8"/>
          </w:tcPr>
          <w:p>
            <w:pPr>
              <w:spacing w:after="0"/>
              <w:jc w:val="left"/>
            </w:pPr>
            <w:r/>
            <w:r>
              <w:rPr>
                <w:rFonts w:ascii="Calibri" w:hAnsi="Calibri"/>
                <w:b w:val="0"/>
                <w:color w:val="1A1A1A"/>
                <w:sz w:val="24"/>
              </w:rPr>
              <w:t>___</w:t>
            </w:r>
          </w:p>
        </w:tc>
      </w:tr>
      <w:tr>
        <w:trPr>
          <w:cantSplit/>
        </w:trPr>
        <w:tc>
          <w:tcPr>
            <w:tcW w:type="dxa" w:w="3778"/>
          </w:tcPr>
          <w:p>
            <w:pPr>
              <w:spacing w:after="0"/>
              <w:jc w:val="left"/>
            </w:pPr>
            <w:r/>
            <w:r>
              <w:rPr>
                <w:rFonts w:ascii="Calibri" w:hAnsi="Calibri"/>
                <w:b w:val="0"/>
                <w:color w:val="1A1A1A"/>
                <w:sz w:val="24"/>
              </w:rPr>
              <w:t>Cargo</w:t>
            </w:r>
          </w:p>
        </w:tc>
        <w:tc>
          <w:tcPr>
            <w:tcW w:type="dxa" w:w="5294"/>
          </w:tcPr>
          <w:p>
            <w:pPr>
              <w:spacing w:after="0"/>
              <w:jc w:val="left"/>
            </w:pPr>
            <w:r/>
            <w:r>
              <w:rPr>
                <w:rFonts w:ascii="Calibri" w:hAnsi="Calibri"/>
                <w:b w:val="0"/>
                <w:color w:val="1A1A1A"/>
                <w:sz w:val="24"/>
              </w:rPr>
              <w:t>___</w:t>
            </w:r>
          </w:p>
        </w:tc>
      </w:tr>
      <w:tr>
        <w:trPr>
          <w:cantSplit/>
        </w:trPr>
        <w:tc>
          <w:tcPr>
            <w:tcW w:type="dxa" w:w="3778"/>
            <w:shd w:val="clear" w:color="auto" w:fill="F2F5F8"/>
          </w:tcPr>
          <w:p>
            <w:pPr>
              <w:spacing w:after="0"/>
              <w:jc w:val="left"/>
            </w:pPr>
            <w:r/>
            <w:r>
              <w:rPr>
                <w:rFonts w:ascii="Calibri" w:hAnsi="Calibri"/>
                <w:b w:val="0"/>
                <w:color w:val="1A1A1A"/>
                <w:sz w:val="24"/>
              </w:rPr>
              <w:t>Quantidade de documentos entregues</w:t>
            </w:r>
          </w:p>
        </w:tc>
        <w:tc>
          <w:tcPr>
            <w:tcW w:type="dxa" w:w="5294"/>
            <w:shd w:val="clear" w:color="auto" w:fill="F2F5F8"/>
          </w:tcPr>
          <w:p>
            <w:pPr>
              <w:spacing w:after="0"/>
              <w:jc w:val="left"/>
            </w:pPr>
            <w:r/>
            <w:r>
              <w:rPr>
                <w:rFonts w:ascii="Calibri" w:hAnsi="Calibri"/>
                <w:b w:val="0"/>
                <w:color w:val="1A1A1A"/>
                <w:sz w:val="24"/>
              </w:rPr>
              <w:t>___</w:t>
            </w:r>
          </w:p>
        </w:tc>
      </w:tr>
      <w:tr>
        <w:trPr>
          <w:cantSplit/>
        </w:trPr>
        <w:tc>
          <w:tcPr>
            <w:tcW w:type="dxa" w:w="3778"/>
          </w:tcPr>
          <w:p>
            <w:pPr>
              <w:spacing w:after="0"/>
              <w:jc w:val="left"/>
            </w:pPr>
            <w:r/>
            <w:r>
              <w:rPr>
                <w:rFonts w:ascii="Calibri" w:hAnsi="Calibri"/>
                <w:b w:val="0"/>
                <w:color w:val="1A1A1A"/>
                <w:sz w:val="24"/>
              </w:rPr>
              <w:t>Formato da entrega</w:t>
            </w:r>
          </w:p>
        </w:tc>
        <w:tc>
          <w:tcPr>
            <w:tcW w:type="dxa" w:w="5294"/>
          </w:tcPr>
          <w:p>
            <w:pPr>
              <w:spacing w:after="0"/>
              <w:jc w:val="left"/>
            </w:pPr>
            <w:r/>
            <w:r>
              <w:rPr>
                <w:rFonts w:ascii="Calibri" w:hAnsi="Calibri"/>
                <w:b w:val="0"/>
                <w:color w:val="1A1A1A"/>
                <w:sz w:val="24"/>
              </w:rPr>
              <w:t>___</w:t>
            </w:r>
          </w:p>
        </w:tc>
      </w:tr>
      <w:tr>
        <w:trPr>
          <w:cantSplit/>
        </w:trPr>
        <w:tc>
          <w:tcPr>
            <w:tcW w:type="dxa" w:w="3778"/>
            <w:shd w:val="clear" w:color="auto" w:fill="F2F5F8"/>
          </w:tcPr>
          <w:p>
            <w:pPr>
              <w:spacing w:after="0"/>
              <w:jc w:val="left"/>
            </w:pPr>
            <w:r/>
            <w:r>
              <w:rPr>
                <w:rFonts w:ascii="Calibri" w:hAnsi="Calibri"/>
                <w:b w:val="0"/>
                <w:color w:val="1A1A1A"/>
                <w:sz w:val="24"/>
              </w:rPr>
              <w:t>Observações</w:t>
            </w:r>
          </w:p>
        </w:tc>
        <w:tc>
          <w:tcPr>
            <w:tcW w:type="dxa" w:w="5294"/>
            <w:shd w:val="clear" w:color="auto" w:fill="F2F5F8"/>
          </w:tcPr>
          <w:p>
            <w:pPr>
              <w:spacing w:after="0"/>
              <w:jc w:val="left"/>
            </w:pPr>
            <w:r/>
            <w:r>
              <w:rPr>
                <w:rFonts w:ascii="Calibri" w:hAnsi="Calibri"/>
                <w:b w:val="0"/>
                <w:color w:val="1A1A1A"/>
                <w:sz w:val="24"/>
              </w:rPr>
              <w:t>___</w:t>
            </w:r>
          </w:p>
        </w:tc>
      </w:tr>
    </w:tbl>
    <w:p>
      <w:pPr>
        <w:spacing w:after="120"/>
      </w:pP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56"/>
        <w:gridCol w:w="3527"/>
        <w:gridCol w:w="1889"/>
      </w:tblGrid>
      <w:tr>
        <w:trPr>
          <w:cantSplit/>
          <w:tblHeader/>
        </w:trPr>
        <w:tc>
          <w:tcPr>
            <w:tcW w:type="dxa" w:w="3656"/>
            <w:shd w:val="clear" w:color="auto" w:fill="143C64"/>
          </w:tcPr>
          <w:p>
            <w:pPr>
              <w:spacing w:after="0"/>
              <w:jc w:val="left"/>
            </w:pPr>
            <w:r/>
            <w:r>
              <w:rPr>
                <w:rFonts w:ascii="Calibri" w:hAnsi="Calibri"/>
                <w:b/>
                <w:color w:val="FFFFFF"/>
                <w:sz w:val="24"/>
              </w:rPr>
              <w:t>Assinatura</w:t>
            </w:r>
          </w:p>
        </w:tc>
        <w:tc>
          <w:tcPr>
            <w:tcW w:type="dxa" w:w="3527"/>
            <w:shd w:val="clear" w:color="auto" w:fill="143C64"/>
          </w:tcPr>
          <w:p>
            <w:pPr>
              <w:spacing w:after="0"/>
              <w:jc w:val="left"/>
            </w:pPr>
            <w:r/>
            <w:r>
              <w:rPr>
                <w:rFonts w:ascii="Calibri" w:hAnsi="Calibri"/>
                <w:b/>
                <w:color w:val="FFFFFF"/>
                <w:sz w:val="24"/>
              </w:rPr>
              <w:t>Nome</w:t>
            </w:r>
          </w:p>
        </w:tc>
        <w:tc>
          <w:tcPr>
            <w:tcW w:type="dxa" w:w="1889"/>
            <w:shd w:val="clear" w:color="auto" w:fill="143C64"/>
          </w:tcPr>
          <w:p>
            <w:pPr>
              <w:spacing w:after="0"/>
              <w:jc w:val="left"/>
            </w:pPr>
            <w:r/>
            <w:r>
              <w:rPr>
                <w:rFonts w:ascii="Calibri" w:hAnsi="Calibri"/>
                <w:b/>
                <w:color w:val="FFFFFF"/>
                <w:sz w:val="24"/>
              </w:rPr>
              <w:t>Data</w:t>
            </w:r>
          </w:p>
        </w:tc>
      </w:tr>
      <w:tr>
        <w:trPr>
          <w:cantSplit/>
        </w:trPr>
        <w:tc>
          <w:tcPr>
            <w:tcW w:type="dxa" w:w="3656"/>
          </w:tcPr>
          <w:p>
            <w:pPr>
              <w:spacing w:after="0"/>
              <w:jc w:val="left"/>
            </w:pPr>
            <w:r/>
            <w:r>
              <w:rPr>
                <w:rFonts w:ascii="Calibri" w:hAnsi="Calibri"/>
                <w:b w:val="0"/>
                <w:color w:val="1A1A1A"/>
                <w:sz w:val="24"/>
              </w:rPr>
              <w:t>Pelo Núcleo 5</w:t>
            </w:r>
          </w:p>
        </w:tc>
        <w:tc>
          <w:tcPr>
            <w:tcW w:type="dxa" w:w="3527"/>
          </w:tcPr>
          <w:p>
            <w:pPr>
              <w:spacing w:after="0"/>
              <w:jc w:val="left"/>
            </w:pPr>
            <w:r/>
            <w:r>
              <w:rPr>
                <w:rFonts w:ascii="Calibri" w:hAnsi="Calibri"/>
                <w:b w:val="0"/>
                <w:color w:val="1A1A1A"/>
                <w:sz w:val="24"/>
              </w:rPr>
              <w:t>___</w:t>
            </w:r>
          </w:p>
        </w:tc>
        <w:tc>
          <w:tcPr>
            <w:tcW w:type="dxa" w:w="1889"/>
          </w:tcPr>
          <w:p>
            <w:pPr>
              <w:spacing w:after="0"/>
              <w:jc w:val="left"/>
            </w:pPr>
            <w:r/>
            <w:r>
              <w:rPr>
                <w:rFonts w:ascii="Calibri" w:hAnsi="Calibri"/>
                <w:b w:val="0"/>
                <w:color w:val="1A1A1A"/>
                <w:sz w:val="24"/>
              </w:rPr>
              <w:t>___</w:t>
            </w:r>
          </w:p>
        </w:tc>
      </w:tr>
      <w:tr>
        <w:trPr>
          <w:cantSplit/>
        </w:trPr>
        <w:tc>
          <w:tcPr>
            <w:tcW w:type="dxa" w:w="3656"/>
            <w:shd w:val="clear" w:color="auto" w:fill="F2F5F8"/>
          </w:tcPr>
          <w:p>
            <w:pPr>
              <w:spacing w:after="0"/>
              <w:jc w:val="left"/>
            </w:pPr>
            <w:r/>
            <w:r>
              <w:rPr>
                <w:rFonts w:ascii="Calibri" w:hAnsi="Calibri"/>
                <w:b w:val="0"/>
                <w:color w:val="1A1A1A"/>
                <w:sz w:val="24"/>
              </w:rPr>
              <w:t>Pela Diretoria Executiva</w:t>
            </w:r>
          </w:p>
        </w:tc>
        <w:tc>
          <w:tcPr>
            <w:tcW w:type="dxa" w:w="3527"/>
            <w:shd w:val="clear" w:color="auto" w:fill="F2F5F8"/>
          </w:tcPr>
          <w:p>
            <w:pPr>
              <w:spacing w:after="0"/>
              <w:jc w:val="left"/>
            </w:pPr>
            <w:r/>
            <w:r>
              <w:rPr>
                <w:rFonts w:ascii="Calibri" w:hAnsi="Calibri"/>
                <w:b w:val="0"/>
                <w:color w:val="1A1A1A"/>
                <w:sz w:val="24"/>
              </w:rPr>
              <w:t>___</w:t>
            </w:r>
          </w:p>
        </w:tc>
        <w:tc>
          <w:tcPr>
            <w:tcW w:type="dxa" w:w="1889"/>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6  Controle de tramitação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417"/>
        <w:gridCol w:w="2061"/>
        <w:gridCol w:w="2594"/>
      </w:tblGrid>
      <w:tr>
        <w:trPr>
          <w:cantSplit/>
          <w:tblHeader/>
        </w:trPr>
        <w:tc>
          <w:tcPr>
            <w:tcW w:type="dxa" w:w="4417"/>
            <w:shd w:val="clear" w:color="auto" w:fill="143C64"/>
          </w:tcPr>
          <w:p>
            <w:pPr>
              <w:spacing w:after="0"/>
              <w:jc w:val="left"/>
            </w:pPr>
            <w:r/>
            <w:r>
              <w:rPr>
                <w:rFonts w:ascii="Calibri" w:hAnsi="Calibri"/>
                <w:b/>
                <w:color w:val="FFFFFF"/>
                <w:sz w:val="24"/>
              </w:rPr>
              <w:t>Etapa</w:t>
            </w:r>
          </w:p>
        </w:tc>
        <w:tc>
          <w:tcPr>
            <w:tcW w:type="dxa" w:w="2061"/>
            <w:shd w:val="clear" w:color="auto" w:fill="143C64"/>
          </w:tcPr>
          <w:p>
            <w:pPr>
              <w:spacing w:after="0"/>
              <w:jc w:val="left"/>
            </w:pPr>
            <w:r/>
            <w:r>
              <w:rPr>
                <w:rFonts w:ascii="Calibri" w:hAnsi="Calibri"/>
                <w:b/>
                <w:color w:val="FFFFFF"/>
                <w:sz w:val="24"/>
              </w:rPr>
              <w:t>Data</w:t>
            </w:r>
          </w:p>
        </w:tc>
        <w:tc>
          <w:tcPr>
            <w:tcW w:type="dxa" w:w="2594"/>
            <w:shd w:val="clear" w:color="auto" w:fill="143C64"/>
          </w:tcPr>
          <w:p>
            <w:pPr>
              <w:spacing w:after="0"/>
              <w:jc w:val="left"/>
            </w:pPr>
            <w:r/>
            <w:r>
              <w:rPr>
                <w:rFonts w:ascii="Calibri" w:hAnsi="Calibri"/>
                <w:b/>
                <w:color w:val="FFFFFF"/>
                <w:sz w:val="24"/>
              </w:rPr>
              <w:t>Situação</w:t>
            </w:r>
          </w:p>
        </w:tc>
      </w:tr>
      <w:tr>
        <w:trPr>
          <w:cantSplit/>
        </w:trPr>
        <w:tc>
          <w:tcPr>
            <w:tcW w:type="dxa" w:w="4417"/>
          </w:tcPr>
          <w:p>
            <w:pPr>
              <w:spacing w:after="0"/>
              <w:jc w:val="left"/>
            </w:pPr>
            <w:r/>
            <w:r>
              <w:rPr>
                <w:rFonts w:ascii="Calibri" w:hAnsi="Calibri"/>
                <w:b w:val="0"/>
                <w:color w:val="1A1A1A"/>
                <w:sz w:val="24"/>
              </w:rPr>
              <w:t>Protocolo de submissão</w:t>
            </w:r>
          </w:p>
        </w:tc>
        <w:tc>
          <w:tcPr>
            <w:tcW w:type="dxa" w:w="2061"/>
          </w:tcPr>
          <w:p>
            <w:pPr>
              <w:spacing w:after="0"/>
              <w:jc w:val="left"/>
            </w:pPr>
            <w:r/>
            <w:r>
              <w:rPr>
                <w:rFonts w:ascii="Calibri" w:hAnsi="Calibri"/>
                <w:b w:val="0"/>
                <w:color w:val="1A1A1A"/>
                <w:sz w:val="24"/>
              </w:rPr>
              <w:t>___</w:t>
            </w:r>
          </w:p>
        </w:tc>
        <w:tc>
          <w:tcPr>
            <w:tcW w:type="dxa" w:w="2594"/>
          </w:tcPr>
          <w:p>
            <w:pPr>
              <w:spacing w:after="0"/>
              <w:jc w:val="left"/>
            </w:pPr>
            <w:r/>
            <w:r>
              <w:rPr>
                <w:rFonts w:ascii="Calibri" w:hAnsi="Calibri"/>
                <w:b w:val="0"/>
                <w:color w:val="1A1A1A"/>
                <w:sz w:val="24"/>
              </w:rPr>
              <w:t>___</w:t>
            </w:r>
          </w:p>
        </w:tc>
      </w:tr>
      <w:tr>
        <w:trPr>
          <w:cantSplit/>
        </w:trPr>
        <w:tc>
          <w:tcPr>
            <w:tcW w:type="dxa" w:w="4417"/>
            <w:shd w:val="clear" w:color="auto" w:fill="F2F5F8"/>
          </w:tcPr>
          <w:p>
            <w:pPr>
              <w:spacing w:after="0"/>
              <w:jc w:val="left"/>
            </w:pPr>
            <w:r/>
            <w:r>
              <w:rPr>
                <w:rFonts w:ascii="Calibri" w:hAnsi="Calibri"/>
                <w:b w:val="0"/>
                <w:color w:val="1A1A1A"/>
                <w:sz w:val="24"/>
              </w:rPr>
              <w:t>Distribuição para análise</w:t>
            </w:r>
          </w:p>
        </w:tc>
        <w:tc>
          <w:tcPr>
            <w:tcW w:type="dxa" w:w="2061"/>
            <w:shd w:val="clear" w:color="auto" w:fill="F2F5F8"/>
          </w:tcPr>
          <w:p>
            <w:pPr>
              <w:spacing w:after="0"/>
              <w:jc w:val="left"/>
            </w:pPr>
            <w:r/>
            <w:r>
              <w:rPr>
                <w:rFonts w:ascii="Calibri" w:hAnsi="Calibri"/>
                <w:b w:val="0"/>
                <w:color w:val="1A1A1A"/>
                <w:sz w:val="24"/>
              </w:rPr>
              <w:t>___</w:t>
            </w:r>
          </w:p>
        </w:tc>
        <w:tc>
          <w:tcPr>
            <w:tcW w:type="dxa" w:w="2594"/>
            <w:shd w:val="clear" w:color="auto" w:fill="F2F5F8"/>
          </w:tcPr>
          <w:p>
            <w:pPr>
              <w:spacing w:after="0"/>
              <w:jc w:val="left"/>
            </w:pPr>
            <w:r/>
            <w:r>
              <w:rPr>
                <w:rFonts w:ascii="Calibri" w:hAnsi="Calibri"/>
                <w:b w:val="0"/>
                <w:color w:val="1A1A1A"/>
                <w:sz w:val="24"/>
              </w:rPr>
              <w:t>___</w:t>
            </w:r>
          </w:p>
        </w:tc>
      </w:tr>
      <w:tr>
        <w:trPr>
          <w:cantSplit/>
        </w:trPr>
        <w:tc>
          <w:tcPr>
            <w:tcW w:type="dxa" w:w="4417"/>
          </w:tcPr>
          <w:p>
            <w:pPr>
              <w:spacing w:after="0"/>
              <w:jc w:val="left"/>
            </w:pPr>
            <w:r/>
            <w:r>
              <w:rPr>
                <w:rFonts w:ascii="Calibri" w:hAnsi="Calibri"/>
                <w:b w:val="0"/>
                <w:color w:val="1A1A1A"/>
                <w:sz w:val="24"/>
              </w:rPr>
              <w:t>Manifestação da Diretoria Executiva</w:t>
            </w:r>
          </w:p>
        </w:tc>
        <w:tc>
          <w:tcPr>
            <w:tcW w:type="dxa" w:w="2061"/>
          </w:tcPr>
          <w:p>
            <w:pPr>
              <w:spacing w:after="0"/>
              <w:jc w:val="left"/>
            </w:pPr>
            <w:r/>
            <w:r>
              <w:rPr>
                <w:rFonts w:ascii="Calibri" w:hAnsi="Calibri"/>
                <w:b w:val="0"/>
                <w:color w:val="1A1A1A"/>
                <w:sz w:val="24"/>
              </w:rPr>
              <w:t>___</w:t>
            </w:r>
          </w:p>
        </w:tc>
        <w:tc>
          <w:tcPr>
            <w:tcW w:type="dxa" w:w="2594"/>
          </w:tcPr>
          <w:p>
            <w:pPr>
              <w:spacing w:after="0"/>
              <w:jc w:val="left"/>
            </w:pPr>
            <w:r/>
            <w:r>
              <w:rPr>
                <w:rFonts w:ascii="Calibri" w:hAnsi="Calibri"/>
                <w:b w:val="0"/>
                <w:color w:val="1A1A1A"/>
                <w:sz w:val="24"/>
              </w:rPr>
              <w:t>___</w:t>
            </w:r>
          </w:p>
        </w:tc>
      </w:tr>
      <w:tr>
        <w:trPr>
          <w:cantSplit/>
        </w:trPr>
        <w:tc>
          <w:tcPr>
            <w:tcW w:type="dxa" w:w="4417"/>
            <w:shd w:val="clear" w:color="auto" w:fill="F2F5F8"/>
          </w:tcPr>
          <w:p>
            <w:pPr>
              <w:spacing w:after="0"/>
              <w:jc w:val="left"/>
            </w:pPr>
            <w:r/>
            <w:r>
              <w:rPr>
                <w:rFonts w:ascii="Calibri" w:hAnsi="Calibri"/>
                <w:b w:val="0"/>
                <w:color w:val="1A1A1A"/>
                <w:sz w:val="24"/>
              </w:rPr>
              <w:t>Ajustes solicitados incorporados</w:t>
            </w:r>
          </w:p>
        </w:tc>
        <w:tc>
          <w:tcPr>
            <w:tcW w:type="dxa" w:w="2061"/>
            <w:shd w:val="clear" w:color="auto" w:fill="F2F5F8"/>
          </w:tcPr>
          <w:p>
            <w:pPr>
              <w:spacing w:after="0"/>
              <w:jc w:val="left"/>
            </w:pPr>
            <w:r/>
            <w:r>
              <w:rPr>
                <w:rFonts w:ascii="Calibri" w:hAnsi="Calibri"/>
                <w:b w:val="0"/>
                <w:color w:val="1A1A1A"/>
                <w:sz w:val="24"/>
              </w:rPr>
              <w:t>___</w:t>
            </w:r>
          </w:p>
        </w:tc>
        <w:tc>
          <w:tcPr>
            <w:tcW w:type="dxa" w:w="2594"/>
            <w:shd w:val="clear" w:color="auto" w:fill="F2F5F8"/>
          </w:tcPr>
          <w:p>
            <w:pPr>
              <w:spacing w:after="0"/>
              <w:jc w:val="left"/>
            </w:pPr>
            <w:r/>
            <w:r>
              <w:rPr>
                <w:rFonts w:ascii="Calibri" w:hAnsi="Calibri"/>
                <w:b w:val="0"/>
                <w:color w:val="1A1A1A"/>
                <w:sz w:val="24"/>
              </w:rPr>
              <w:t>___</w:t>
            </w:r>
          </w:p>
        </w:tc>
      </w:tr>
      <w:tr>
        <w:trPr>
          <w:cantSplit/>
        </w:trPr>
        <w:tc>
          <w:tcPr>
            <w:tcW w:type="dxa" w:w="4417"/>
          </w:tcPr>
          <w:p>
            <w:pPr>
              <w:spacing w:after="0"/>
              <w:jc w:val="left"/>
            </w:pPr>
            <w:r/>
            <w:r>
              <w:rPr>
                <w:rFonts w:ascii="Calibri" w:hAnsi="Calibri"/>
                <w:b w:val="0"/>
                <w:color w:val="1A1A1A"/>
                <w:sz w:val="24"/>
              </w:rPr>
              <w:t>Validação registrada</w:t>
            </w:r>
          </w:p>
        </w:tc>
        <w:tc>
          <w:tcPr>
            <w:tcW w:type="dxa" w:w="2061"/>
          </w:tcPr>
          <w:p>
            <w:pPr>
              <w:spacing w:after="0"/>
              <w:jc w:val="left"/>
            </w:pPr>
            <w:r/>
            <w:r>
              <w:rPr>
                <w:rFonts w:ascii="Calibri" w:hAnsi="Calibri"/>
                <w:b w:val="0"/>
                <w:color w:val="1A1A1A"/>
                <w:sz w:val="24"/>
              </w:rPr>
              <w:t>___</w:t>
            </w:r>
          </w:p>
        </w:tc>
        <w:tc>
          <w:tcPr>
            <w:tcW w:type="dxa" w:w="2594"/>
          </w:tcPr>
          <w:p>
            <w:pPr>
              <w:spacing w:after="0"/>
              <w:jc w:val="left"/>
            </w:pPr>
            <w:r/>
            <w:r>
              <w:rPr>
                <w:rFonts w:ascii="Calibri" w:hAnsi="Calibri"/>
                <w:b w:val="0"/>
                <w:color w:val="1A1A1A"/>
                <w:sz w:val="24"/>
              </w:rPr>
              <w:t>___</w:t>
            </w:r>
          </w:p>
        </w:tc>
      </w:tr>
      <w:tr>
        <w:trPr>
          <w:cantSplit/>
        </w:trPr>
        <w:tc>
          <w:tcPr>
            <w:tcW w:type="dxa" w:w="4417"/>
            <w:shd w:val="clear" w:color="auto" w:fill="F2F5F8"/>
          </w:tcPr>
          <w:p>
            <w:pPr>
              <w:spacing w:after="0"/>
              <w:jc w:val="left"/>
            </w:pPr>
            <w:r/>
            <w:r>
              <w:rPr>
                <w:rFonts w:ascii="Calibri" w:hAnsi="Calibri"/>
                <w:b w:val="0"/>
                <w:color w:val="1A1A1A"/>
                <w:sz w:val="24"/>
              </w:rPr>
              <w:t>Definição de escopo de publicação</w:t>
            </w:r>
          </w:p>
        </w:tc>
        <w:tc>
          <w:tcPr>
            <w:tcW w:type="dxa" w:w="2061"/>
            <w:shd w:val="clear" w:color="auto" w:fill="F2F5F8"/>
          </w:tcPr>
          <w:p>
            <w:pPr>
              <w:spacing w:after="0"/>
              <w:jc w:val="left"/>
            </w:pPr>
            <w:r/>
            <w:r>
              <w:rPr>
                <w:rFonts w:ascii="Calibri" w:hAnsi="Calibri"/>
                <w:b w:val="0"/>
                <w:color w:val="1A1A1A"/>
                <w:sz w:val="24"/>
              </w:rPr>
              <w:t>___</w:t>
            </w:r>
          </w:p>
        </w:tc>
        <w:tc>
          <w:tcPr>
            <w:tcW w:type="dxa" w:w="2594"/>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N5-SUB-01 · Dossiê de Submissão à Diretoria Executiva · versão 1.0 · instrumento institucional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N5-SUB-01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