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COMUNICADO AO INSCRITO</w:t>
      </w:r>
    </w:p>
    <w:p>
      <w:pPr>
        <w:spacing w:after="160"/>
        <w:jc w:val="center"/>
      </w:pPr>
      <w:r>
        <w:rPr>
          <w:rFonts w:ascii="Calibri" w:hAnsi="Calibri"/>
          <w:b/>
          <w:color w:val="143C64"/>
          <w:sz w:val="48"/>
        </w:rPr>
        <w:t>Uso Fora da Indicação Aprovada</w:t>
      </w:r>
    </w:p>
    <w:p>
      <w:pPr>
        <w:spacing w:after="720"/>
        <w:jc w:val="center"/>
      </w:pPr>
      <w:r>
        <w:rPr>
          <w:rFonts w:ascii="Calibri" w:hAnsi="Calibri"/>
          <w:b w:val="0"/>
          <w:i w:val="0"/>
          <w:color w:val="444A52"/>
          <w:sz w:val="26"/>
        </w:rPr>
        <w:t>O que caracteriza, o que exige e quais são os riscos clínicos, éticos e jurídicos do uso de produto regularizado fora da indicação aprovada em Harmonização Orofacial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CT-HOF-COM-02</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1.0</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26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Submetido à validação institucional para circulação ao inscrito</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O ponto central</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Uso fora da indicação aprovada não é uso irregular, e também não é prática padrão</w:t>
            </w:r>
          </w:p>
          <w:p>
            <w:pPr>
              <w:spacing w:after="0"/>
              <w:jc w:val="both"/>
            </w:pPr>
            <w:r>
              <w:rPr>
                <w:rFonts w:ascii="Calibri" w:hAnsi="Calibri"/>
                <w:color w:val="1A1A1A"/>
                <w:sz w:val="24"/>
              </w:rPr>
              <w:t>São três situações distintas e a confusão entre elas é a origem da maior parte da exposição do profissional. Produto irregular é vedado, sem exceção. Produto regularizado usado dentro da finalidade aprovada é uso conforme. Produto regularizado usado fora da finalidade, da região ou da técnica aprovadas é uso fora da indicação aprovada: não é proibido, mas não pode ser apresentado ao paciente nem a terceiros como se fosse o padrão assistencial, e exige um nível de documentação que o uso conforme não exige.</w:t>
            </w:r>
          </w:p>
        </w:tc>
      </w:tr>
    </w:tbl>
    <w:p>
      <w:pPr>
        <w:spacing w:after="80"/>
      </w:pP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5498"/>
      </w:tblGrid>
      <w:tr>
        <w:trPr>
          <w:cantSplit/>
          <w:tblHeader/>
        </w:trPr>
        <w:tc>
          <w:tcPr>
            <w:tcW w:type="dxa" w:w="3574"/>
            <w:shd w:val="clear" w:color="auto" w:fill="143C64"/>
          </w:tcPr>
          <w:p>
            <w:pPr>
              <w:spacing w:after="0"/>
              <w:jc w:val="left"/>
            </w:pPr>
            <w:r/>
            <w:r>
              <w:rPr>
                <w:rFonts w:ascii="Calibri" w:hAnsi="Calibri"/>
                <w:b/>
                <w:color w:val="FFFFFF"/>
                <w:sz w:val="24"/>
              </w:rPr>
              <w:t>Categoria</w:t>
            </w:r>
          </w:p>
        </w:tc>
        <w:tc>
          <w:tcPr>
            <w:tcW w:type="dxa" w:w="5498"/>
            <w:shd w:val="clear" w:color="auto" w:fill="143C64"/>
          </w:tcPr>
          <w:p>
            <w:pPr>
              <w:spacing w:after="0"/>
              <w:jc w:val="left"/>
            </w:pPr>
            <w:r/>
            <w:r>
              <w:rPr>
                <w:rFonts w:ascii="Calibri" w:hAnsi="Calibri"/>
                <w:b/>
                <w:color w:val="FFFFFF"/>
                <w:sz w:val="24"/>
              </w:rPr>
              <w:t>Definição</w:t>
            </w:r>
          </w:p>
        </w:tc>
      </w:tr>
      <w:tr>
        <w:trPr>
          <w:cantSplit/>
        </w:trPr>
        <w:tc>
          <w:tcPr>
            <w:tcW w:type="dxa" w:w="3574"/>
          </w:tcPr>
          <w:p>
            <w:pPr>
              <w:spacing w:after="0"/>
              <w:jc w:val="left"/>
            </w:pPr>
            <w:r/>
            <w:r>
              <w:rPr>
                <w:rFonts w:ascii="Calibri" w:hAnsi="Calibri"/>
                <w:b/>
                <w:color w:val="1A1A1A"/>
                <w:sz w:val="24"/>
              </w:rPr>
              <w:t>EXIGÊNCIA NORMATIVA</w:t>
            </w:r>
          </w:p>
        </w:tc>
        <w:tc>
          <w:tcPr>
            <w:tcW w:type="dxa" w:w="5498"/>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574"/>
            <w:shd w:val="clear" w:color="auto" w:fill="F2F5F8"/>
          </w:tcPr>
          <w:p>
            <w:pPr>
              <w:spacing w:after="0"/>
              <w:jc w:val="left"/>
            </w:pPr>
            <w:r/>
            <w:r>
              <w:rPr>
                <w:rFonts w:ascii="Calibri" w:hAnsi="Calibri"/>
                <w:b/>
                <w:color w:val="1A1A1A"/>
                <w:sz w:val="24"/>
              </w:rPr>
              <w:t>EVIDÊNCIA CIENTÍFICA</w:t>
            </w:r>
          </w:p>
        </w:tc>
        <w:tc>
          <w:tcPr>
            <w:tcW w:type="dxa" w:w="5498"/>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574"/>
          </w:tcPr>
          <w:p>
            <w:pPr>
              <w:spacing w:after="0"/>
              <w:jc w:val="left"/>
            </w:pPr>
            <w:r/>
            <w:r>
              <w:rPr>
                <w:rFonts w:ascii="Calibri" w:hAnsi="Calibri"/>
                <w:b/>
                <w:color w:val="1A1A1A"/>
                <w:sz w:val="24"/>
              </w:rPr>
              <w:t>RECOMENDAÇÃO TÉCNICA</w:t>
            </w:r>
          </w:p>
        </w:tc>
        <w:tc>
          <w:tcPr>
            <w:tcW w:type="dxa" w:w="5498"/>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574"/>
            <w:shd w:val="clear" w:color="auto" w:fill="F2F5F8"/>
          </w:tcPr>
          <w:p>
            <w:pPr>
              <w:spacing w:after="0"/>
              <w:jc w:val="left"/>
            </w:pPr>
            <w:r/>
            <w:r>
              <w:rPr>
                <w:rFonts w:ascii="Calibri" w:hAnsi="Calibri"/>
                <w:b/>
                <w:color w:val="1A1A1A"/>
                <w:sz w:val="24"/>
              </w:rPr>
              <w:t>PENDÊNCIA INSTITUCIONAL</w:t>
            </w:r>
          </w:p>
        </w:tc>
        <w:tc>
          <w:tcPr>
            <w:tcW w:type="dxa" w:w="5498"/>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As quatro situações e o que cada uma exige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149"/>
        <w:gridCol w:w="3289"/>
        <w:gridCol w:w="3634"/>
      </w:tblGrid>
      <w:tr>
        <w:trPr>
          <w:cantSplit/>
          <w:tblHeader/>
        </w:trPr>
        <w:tc>
          <w:tcPr>
            <w:tcW w:type="dxa" w:w="2149"/>
            <w:shd w:val="clear" w:color="auto" w:fill="143C64"/>
          </w:tcPr>
          <w:p>
            <w:pPr>
              <w:spacing w:after="0"/>
              <w:jc w:val="left"/>
            </w:pPr>
            <w:r/>
            <w:r>
              <w:rPr>
                <w:rFonts w:ascii="Calibri" w:hAnsi="Calibri"/>
                <w:b/>
                <w:color w:val="FFFFFF"/>
                <w:sz w:val="24"/>
              </w:rPr>
              <w:t>Situação</w:t>
            </w:r>
          </w:p>
        </w:tc>
        <w:tc>
          <w:tcPr>
            <w:tcW w:type="dxa" w:w="3289"/>
            <w:shd w:val="clear" w:color="auto" w:fill="143C64"/>
          </w:tcPr>
          <w:p>
            <w:pPr>
              <w:spacing w:after="0"/>
              <w:jc w:val="left"/>
            </w:pPr>
            <w:r/>
            <w:r>
              <w:rPr>
                <w:rFonts w:ascii="Calibri" w:hAnsi="Calibri"/>
                <w:b/>
                <w:color w:val="FFFFFF"/>
                <w:sz w:val="24"/>
              </w:rPr>
              <w:t>Caracterização</w:t>
            </w:r>
          </w:p>
        </w:tc>
        <w:tc>
          <w:tcPr>
            <w:tcW w:type="dxa" w:w="3634"/>
            <w:shd w:val="clear" w:color="auto" w:fill="143C64"/>
          </w:tcPr>
          <w:p>
            <w:pPr>
              <w:spacing w:after="0"/>
              <w:jc w:val="left"/>
            </w:pPr>
            <w:r/>
            <w:r>
              <w:rPr>
                <w:rFonts w:ascii="Calibri" w:hAnsi="Calibri"/>
                <w:b/>
                <w:color w:val="FFFFFF"/>
                <w:sz w:val="24"/>
              </w:rPr>
              <w:t>O que exige</w:t>
            </w:r>
          </w:p>
        </w:tc>
      </w:tr>
      <w:tr>
        <w:trPr>
          <w:cantSplit/>
        </w:trPr>
        <w:tc>
          <w:tcPr>
            <w:tcW w:type="dxa" w:w="2149"/>
          </w:tcPr>
          <w:p>
            <w:pPr>
              <w:spacing w:after="0"/>
              <w:jc w:val="left"/>
            </w:pPr>
            <w:r/>
            <w:r>
              <w:rPr>
                <w:rFonts w:ascii="Calibri" w:hAnsi="Calibri"/>
                <w:b/>
                <w:color w:val="1A1A1A"/>
                <w:sz w:val="24"/>
              </w:rPr>
              <w:t>Uso conforme</w:t>
            </w:r>
          </w:p>
        </w:tc>
        <w:tc>
          <w:tcPr>
            <w:tcW w:type="dxa" w:w="3289"/>
          </w:tcPr>
          <w:p>
            <w:pPr>
              <w:spacing w:after="0"/>
              <w:jc w:val="left"/>
            </w:pPr>
            <w:r/>
            <w:r>
              <w:rPr>
                <w:rFonts w:ascii="Calibri" w:hAnsi="Calibri"/>
                <w:b w:val="0"/>
                <w:color w:val="1A1A1A"/>
                <w:sz w:val="24"/>
              </w:rPr>
              <w:t>Indicação, região e técnica compatíveis com as instruções aprovadas.</w:t>
            </w:r>
          </w:p>
        </w:tc>
        <w:tc>
          <w:tcPr>
            <w:tcW w:type="dxa" w:w="3634"/>
          </w:tcPr>
          <w:p>
            <w:pPr>
              <w:spacing w:after="0"/>
              <w:jc w:val="left"/>
            </w:pPr>
            <w:r/>
            <w:r>
              <w:rPr>
                <w:rFonts w:ascii="Calibri" w:hAnsi="Calibri"/>
                <w:b w:val="0"/>
                <w:color w:val="1A1A1A"/>
                <w:sz w:val="24"/>
              </w:rPr>
              <w:t>Documentar a conformidade e manter rastreabilidade.</w:t>
            </w:r>
          </w:p>
        </w:tc>
      </w:tr>
      <w:tr>
        <w:trPr>
          <w:cantSplit/>
        </w:trPr>
        <w:tc>
          <w:tcPr>
            <w:tcW w:type="dxa" w:w="2149"/>
            <w:shd w:val="clear" w:color="auto" w:fill="F2F5F8"/>
          </w:tcPr>
          <w:p>
            <w:pPr>
              <w:spacing w:after="0"/>
              <w:jc w:val="left"/>
            </w:pPr>
            <w:r/>
            <w:r>
              <w:rPr>
                <w:rFonts w:ascii="Calibri" w:hAnsi="Calibri"/>
                <w:b/>
                <w:color w:val="1A1A1A"/>
                <w:sz w:val="24"/>
              </w:rPr>
              <w:t>Uso fora da indicação aprovada</w:t>
            </w:r>
          </w:p>
        </w:tc>
        <w:tc>
          <w:tcPr>
            <w:tcW w:type="dxa" w:w="3289"/>
            <w:shd w:val="clear" w:color="auto" w:fill="F2F5F8"/>
          </w:tcPr>
          <w:p>
            <w:pPr>
              <w:spacing w:after="0"/>
              <w:jc w:val="left"/>
            </w:pPr>
            <w:r/>
            <w:r>
              <w:rPr>
                <w:rFonts w:ascii="Calibri" w:hAnsi="Calibri"/>
                <w:b w:val="0"/>
                <w:color w:val="1A1A1A"/>
                <w:sz w:val="24"/>
              </w:rPr>
              <w:t>Produto regularizado empregado fora da indicação, região ou técnica aprovadas.</w:t>
            </w:r>
          </w:p>
        </w:tc>
        <w:tc>
          <w:tcPr>
            <w:tcW w:type="dxa" w:w="3634"/>
            <w:shd w:val="clear" w:color="auto" w:fill="F2F5F8"/>
          </w:tcPr>
          <w:p>
            <w:pPr>
              <w:spacing w:after="0"/>
              <w:jc w:val="left"/>
            </w:pPr>
            <w:r/>
            <w:r>
              <w:rPr>
                <w:rFonts w:ascii="Calibri" w:hAnsi="Calibri"/>
                <w:b w:val="0"/>
                <w:color w:val="1A1A1A"/>
                <w:sz w:val="24"/>
              </w:rPr>
              <w:t>Justificativa técnica no prontuário, informação específica ao paciente, termo próprio de ciência, registro reforçado e acompanhamento diferenciado.</w:t>
            </w:r>
          </w:p>
        </w:tc>
      </w:tr>
      <w:tr>
        <w:trPr>
          <w:cantSplit/>
        </w:trPr>
        <w:tc>
          <w:tcPr>
            <w:tcW w:type="dxa" w:w="2149"/>
          </w:tcPr>
          <w:p>
            <w:pPr>
              <w:spacing w:after="0"/>
              <w:jc w:val="left"/>
            </w:pPr>
            <w:r/>
            <w:r>
              <w:rPr>
                <w:rFonts w:ascii="Calibri" w:hAnsi="Calibri"/>
                <w:b/>
                <w:color w:val="1A1A1A"/>
                <w:sz w:val="24"/>
              </w:rPr>
              <w:t>Protocolo autoral</w:t>
            </w:r>
          </w:p>
        </w:tc>
        <w:tc>
          <w:tcPr>
            <w:tcW w:type="dxa" w:w="3289"/>
          </w:tcPr>
          <w:p>
            <w:pPr>
              <w:spacing w:after="0"/>
              <w:jc w:val="left"/>
            </w:pPr>
            <w:r/>
            <w:r>
              <w:rPr>
                <w:rFonts w:ascii="Calibri" w:hAnsi="Calibri"/>
                <w:b w:val="0"/>
                <w:color w:val="1A1A1A"/>
                <w:sz w:val="24"/>
              </w:rPr>
              <w:t>Combinação, sequência ou parâmetro proposto por autor ou escola, sem sustentação publicada.</w:t>
            </w:r>
          </w:p>
        </w:tc>
        <w:tc>
          <w:tcPr>
            <w:tcW w:type="dxa" w:w="3634"/>
          </w:tcPr>
          <w:p>
            <w:pPr>
              <w:spacing w:after="0"/>
              <w:jc w:val="left"/>
            </w:pPr>
            <w:r/>
            <w:r>
              <w:rPr>
                <w:rFonts w:ascii="Calibri" w:hAnsi="Calibri"/>
                <w:b w:val="0"/>
                <w:color w:val="1A1A1A"/>
                <w:sz w:val="24"/>
              </w:rPr>
              <w:t>Registro explícito da ausência de sustentação, consentimento correspondente e vedação de apresentá-lo como padrão assistencial.</w:t>
            </w:r>
          </w:p>
        </w:tc>
      </w:tr>
      <w:tr>
        <w:trPr>
          <w:cantSplit/>
        </w:trPr>
        <w:tc>
          <w:tcPr>
            <w:tcW w:type="dxa" w:w="2149"/>
            <w:shd w:val="clear" w:color="auto" w:fill="F2F5F8"/>
          </w:tcPr>
          <w:p>
            <w:pPr>
              <w:spacing w:after="0"/>
              <w:jc w:val="left"/>
            </w:pPr>
            <w:r/>
            <w:r>
              <w:rPr>
                <w:rFonts w:ascii="Calibri" w:hAnsi="Calibri"/>
                <w:b/>
                <w:color w:val="1A1A1A"/>
                <w:sz w:val="24"/>
              </w:rPr>
              <w:t>Produto irregular</w:t>
            </w:r>
          </w:p>
        </w:tc>
        <w:tc>
          <w:tcPr>
            <w:tcW w:type="dxa" w:w="3289"/>
            <w:shd w:val="clear" w:color="auto" w:fill="F2F5F8"/>
          </w:tcPr>
          <w:p>
            <w:pPr>
              <w:spacing w:after="0"/>
              <w:jc w:val="left"/>
            </w:pPr>
            <w:r/>
            <w:r>
              <w:rPr>
                <w:rFonts w:ascii="Calibri" w:hAnsi="Calibri"/>
                <w:b w:val="0"/>
                <w:color w:val="1A1A1A"/>
                <w:sz w:val="24"/>
              </w:rPr>
              <w:t>Sem regularização válida, com situação vencida ou de origem não rastreável.</w:t>
            </w:r>
          </w:p>
        </w:tc>
        <w:tc>
          <w:tcPr>
            <w:tcW w:type="dxa" w:w="3634"/>
            <w:shd w:val="clear" w:color="auto" w:fill="F2F5F8"/>
          </w:tcPr>
          <w:p>
            <w:pPr>
              <w:spacing w:after="0"/>
              <w:jc w:val="left"/>
            </w:pPr>
            <w:r/>
            <w:r>
              <w:rPr>
                <w:rFonts w:ascii="Calibri" w:hAnsi="Calibri"/>
                <w:b w:val="0"/>
                <w:color w:val="1A1A1A"/>
                <w:sz w:val="24"/>
              </w:rPr>
              <w:t>Vedado. Não há justificativa clínica que legitime o uso.</w:t>
            </w:r>
          </w:p>
        </w:tc>
      </w:tr>
    </w:tbl>
    <w:p>
      <w:pPr>
        <w:keepNext/>
        <w:spacing w:before="360" w:after="160"/>
        <w:jc w:val="left"/>
        <w:pBdr>
          <w:bottom w:val="single" w:sz="8" w:space="4" w:color="143C64"/>
        </w:pBdr>
      </w:pPr>
      <w:r>
        <w:rPr>
          <w:rFonts w:ascii="Calibri" w:hAnsi="Calibri"/>
          <w:b/>
          <w:color w:val="143C64"/>
          <w:sz w:val="30"/>
        </w:rPr>
        <w:t>3  Por que a distinção importa na prática</w:t>
      </w:r>
    </w:p>
    <w:p>
      <w:pPr>
        <w:spacing w:after="120"/>
        <w:jc w:val="both"/>
      </w:pPr>
      <w:r>
        <w:rPr>
          <w:rFonts w:ascii="Calibri" w:hAnsi="Calibri"/>
          <w:b w:val="0"/>
          <w:i w:val="0"/>
          <w:color w:val="1A1A1A"/>
          <w:sz w:val="24"/>
        </w:rPr>
        <w:t>Três consequências concretas decorrem de tratar o uso fora da indicação como se fosse uso conforme.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480"/>
        <w:gridCol w:w="6592"/>
      </w:tblGrid>
      <w:tr>
        <w:trPr>
          <w:cantSplit/>
          <w:tblHeader/>
        </w:trPr>
        <w:tc>
          <w:tcPr>
            <w:tcW w:type="dxa" w:w="2480"/>
            <w:shd w:val="clear" w:color="auto" w:fill="143C64"/>
          </w:tcPr>
          <w:p>
            <w:pPr>
              <w:spacing w:after="0"/>
              <w:jc w:val="left"/>
            </w:pPr>
            <w:r/>
            <w:r>
              <w:rPr>
                <w:rFonts w:ascii="Calibri" w:hAnsi="Calibri"/>
                <w:b/>
                <w:color w:val="FFFFFF"/>
                <w:sz w:val="24"/>
              </w:rPr>
              <w:t>Dimensão</w:t>
            </w:r>
          </w:p>
        </w:tc>
        <w:tc>
          <w:tcPr>
            <w:tcW w:type="dxa" w:w="6592"/>
            <w:shd w:val="clear" w:color="auto" w:fill="143C64"/>
          </w:tcPr>
          <w:p>
            <w:pPr>
              <w:spacing w:after="0"/>
              <w:jc w:val="left"/>
            </w:pPr>
            <w:r/>
            <w:r>
              <w:rPr>
                <w:rFonts w:ascii="Calibri" w:hAnsi="Calibri"/>
                <w:b/>
                <w:color w:val="FFFFFF"/>
                <w:sz w:val="24"/>
              </w:rPr>
              <w:t>Consequência</w:t>
            </w:r>
          </w:p>
        </w:tc>
      </w:tr>
      <w:tr>
        <w:trPr>
          <w:cantSplit/>
        </w:trPr>
        <w:tc>
          <w:tcPr>
            <w:tcW w:type="dxa" w:w="2480"/>
          </w:tcPr>
          <w:p>
            <w:pPr>
              <w:spacing w:after="0"/>
              <w:jc w:val="left"/>
            </w:pPr>
            <w:r/>
            <w:r>
              <w:rPr>
                <w:rFonts w:ascii="Calibri" w:hAnsi="Calibri"/>
                <w:b/>
                <w:color w:val="1A1A1A"/>
                <w:sz w:val="24"/>
              </w:rPr>
              <w:t>Clínica</w:t>
            </w:r>
          </w:p>
        </w:tc>
        <w:tc>
          <w:tcPr>
            <w:tcW w:type="dxa" w:w="6592"/>
          </w:tcPr>
          <w:p>
            <w:pPr>
              <w:spacing w:after="0"/>
              <w:jc w:val="left"/>
            </w:pPr>
            <w:r/>
            <w:r>
              <w:rPr>
                <w:rFonts w:ascii="Calibri" w:hAnsi="Calibri"/>
                <w:b w:val="0"/>
                <w:color w:val="1A1A1A"/>
                <w:sz w:val="24"/>
              </w:rPr>
              <w:t>A previsibilidade do resultado e do perfil de risco é menor, porque a evidência que sustentou a aprovação não cobre aquele uso. O acompanhamento precisa ser mais próximo, e não igual.</w:t>
            </w:r>
          </w:p>
        </w:tc>
      </w:tr>
      <w:tr>
        <w:trPr>
          <w:cantSplit/>
        </w:trPr>
        <w:tc>
          <w:tcPr>
            <w:tcW w:type="dxa" w:w="2480"/>
            <w:shd w:val="clear" w:color="auto" w:fill="F2F5F8"/>
          </w:tcPr>
          <w:p>
            <w:pPr>
              <w:spacing w:after="0"/>
              <w:jc w:val="left"/>
            </w:pPr>
            <w:r/>
            <w:r>
              <w:rPr>
                <w:rFonts w:ascii="Calibri" w:hAnsi="Calibri"/>
                <w:b/>
                <w:color w:val="1A1A1A"/>
                <w:sz w:val="24"/>
              </w:rPr>
              <w:t>Ética</w:t>
            </w:r>
          </w:p>
        </w:tc>
        <w:tc>
          <w:tcPr>
            <w:tcW w:type="dxa" w:w="6592"/>
            <w:shd w:val="clear" w:color="auto" w:fill="F2F5F8"/>
          </w:tcPr>
          <w:p>
            <w:pPr>
              <w:spacing w:after="0"/>
              <w:jc w:val="left"/>
            </w:pPr>
            <w:r/>
            <w:r>
              <w:rPr>
                <w:rFonts w:ascii="Calibri" w:hAnsi="Calibri"/>
                <w:b w:val="0"/>
                <w:color w:val="1A1A1A"/>
                <w:sz w:val="24"/>
              </w:rPr>
              <w:t>Apresentar ao paciente como prática padrão algo que não é configura informação incompleta. O dever de informar sobre riscos e alternativas está no Código de Ética e agora também na Lei nº 15.378/2026, que instituiu o Estatuto dos Direitos do Paciente e alcança clínicas e consultórios particulares.</w:t>
            </w:r>
          </w:p>
        </w:tc>
      </w:tr>
      <w:tr>
        <w:trPr>
          <w:cantSplit/>
        </w:trPr>
        <w:tc>
          <w:tcPr>
            <w:tcW w:type="dxa" w:w="2480"/>
          </w:tcPr>
          <w:p>
            <w:pPr>
              <w:spacing w:after="0"/>
              <w:jc w:val="left"/>
            </w:pPr>
            <w:r/>
            <w:r>
              <w:rPr>
                <w:rFonts w:ascii="Calibri" w:hAnsi="Calibri"/>
                <w:b/>
                <w:color w:val="1A1A1A"/>
                <w:sz w:val="24"/>
              </w:rPr>
              <w:t>Jurídica</w:t>
            </w:r>
          </w:p>
        </w:tc>
        <w:tc>
          <w:tcPr>
            <w:tcW w:type="dxa" w:w="6592"/>
          </w:tcPr>
          <w:p>
            <w:pPr>
              <w:spacing w:after="0"/>
              <w:jc w:val="left"/>
            </w:pPr>
            <w:r/>
            <w:r>
              <w:rPr>
                <w:rFonts w:ascii="Calibri" w:hAnsi="Calibri"/>
                <w:b w:val="0"/>
                <w:color w:val="1A1A1A"/>
                <w:sz w:val="24"/>
              </w:rPr>
              <w:t>Diante de resultado adverso, a ausência de justificativa técnica registrada e de consentimento específico transfere ao profissional o ônus de demonstrar que a escolha foi fundamentada. Com o registro, discute-se a conduta. Sem o registro, discute-se a conduta e a documentação ao mesmo tempo.</w:t>
            </w:r>
          </w:p>
        </w:tc>
      </w:tr>
    </w:tbl>
    <w:p>
      <w:pPr>
        <w:keepNext/>
        <w:spacing w:before="360" w:after="160"/>
        <w:jc w:val="left"/>
        <w:pBdr>
          <w:bottom w:val="single" w:sz="8" w:space="4" w:color="143C64"/>
        </w:pBdr>
      </w:pPr>
      <w:r>
        <w:rPr>
          <w:rFonts w:ascii="Calibri" w:hAnsi="Calibri"/>
          <w:b/>
          <w:color w:val="143C64"/>
          <w:sz w:val="30"/>
        </w:rPr>
        <w:t>4  O que registrar quando a escolha for essa</w:t>
      </w:r>
    </w:p>
    <w:p>
      <w:pPr>
        <w:pStyle w:val="ListNumber"/>
        <w:spacing w:after="60"/>
        <w:ind w:left="397"/>
        <w:jc w:val="both"/>
      </w:pPr>
      <w:r>
        <w:rPr>
          <w:rFonts w:ascii="Calibri" w:hAnsi="Calibri"/>
          <w:color w:val="1A1A1A"/>
          <w:sz w:val="24"/>
        </w:rPr>
        <w:t>Identificação do produto, número de regularização, finalidade aprovada e data da consulta.</w:t>
      </w:r>
    </w:p>
    <w:p>
      <w:pPr>
        <w:pStyle w:val="ListNumber"/>
        <w:spacing w:after="60"/>
        <w:ind w:left="397"/>
        <w:jc w:val="both"/>
      </w:pPr>
      <w:r>
        <w:rPr>
          <w:rFonts w:ascii="Calibri" w:hAnsi="Calibri"/>
          <w:color w:val="1A1A1A"/>
          <w:sz w:val="24"/>
        </w:rPr>
        <w:t>Descrição do uso pretendido e em que ele difere da finalidade aprovada.</w:t>
      </w:r>
    </w:p>
    <w:p>
      <w:pPr>
        <w:pStyle w:val="ListNumber"/>
        <w:spacing w:after="60"/>
        <w:ind w:left="397"/>
        <w:jc w:val="both"/>
      </w:pPr>
      <w:r>
        <w:rPr>
          <w:rFonts w:ascii="Calibri" w:hAnsi="Calibri"/>
          <w:color w:val="1A1A1A"/>
          <w:sz w:val="24"/>
        </w:rPr>
        <w:t>Justificativa técnica da escolha, com a fonte que a sustenta, quando houver.</w:t>
      </w:r>
    </w:p>
    <w:p>
      <w:pPr>
        <w:pStyle w:val="ListNumber"/>
        <w:spacing w:after="60"/>
        <w:ind w:left="397"/>
        <w:jc w:val="both"/>
      </w:pPr>
      <w:r>
        <w:rPr>
          <w:rFonts w:ascii="Calibri" w:hAnsi="Calibri"/>
          <w:color w:val="1A1A1A"/>
          <w:sz w:val="24"/>
        </w:rPr>
        <w:t>Alternativas dentro da indicação aprovada que foram consideradas e por que foram afastadas.</w:t>
      </w:r>
    </w:p>
    <w:p>
      <w:pPr>
        <w:pStyle w:val="ListNumber"/>
        <w:spacing w:after="60"/>
        <w:ind w:left="397"/>
        <w:jc w:val="both"/>
      </w:pPr>
      <w:r>
        <w:rPr>
          <w:rFonts w:ascii="Calibri" w:hAnsi="Calibri"/>
          <w:color w:val="1A1A1A"/>
          <w:sz w:val="24"/>
        </w:rPr>
        <w:t>Registro de que o paciente foi informado especificamente sobre essa condição.</w:t>
      </w:r>
    </w:p>
    <w:p>
      <w:pPr>
        <w:pStyle w:val="ListNumber"/>
        <w:spacing w:after="60"/>
        <w:ind w:left="397"/>
        <w:jc w:val="both"/>
      </w:pPr>
      <w:r>
        <w:rPr>
          <w:rFonts w:ascii="Calibri" w:hAnsi="Calibri"/>
          <w:color w:val="1A1A1A"/>
          <w:sz w:val="24"/>
        </w:rPr>
        <w:t>Termo de ciência assinado, conforme a minuta C do documento 18 do pacote.</w:t>
      </w:r>
    </w:p>
    <w:p>
      <w:pPr>
        <w:pStyle w:val="ListNumber"/>
        <w:spacing w:after="60"/>
        <w:ind w:left="397"/>
        <w:jc w:val="both"/>
      </w:pPr>
      <w:r>
        <w:rPr>
          <w:rFonts w:ascii="Calibri" w:hAnsi="Calibri"/>
          <w:color w:val="1A1A1A"/>
          <w:sz w:val="24"/>
        </w:rPr>
        <w:t>Plano de acompanhamento diferenciado, com datas de reavaliação definidas.</w:t>
      </w:r>
    </w:p>
    <w:p>
      <w:pPr>
        <w:keepNext/>
        <w:spacing w:before="360" w:after="160"/>
        <w:jc w:val="left"/>
        <w:pBdr>
          <w:bottom w:val="single" w:sz="8" w:space="4" w:color="143C64"/>
        </w:pBdr>
      </w:pPr>
      <w:r>
        <w:rPr>
          <w:rFonts w:ascii="Calibri" w:hAnsi="Calibri"/>
          <w:b/>
          <w:color w:val="143C64"/>
          <w:sz w:val="30"/>
        </w:rPr>
        <w:t>5  O que não fazer</w:t>
      </w:r>
    </w:p>
    <w:p>
      <w:pPr>
        <w:pStyle w:val="ListBullet"/>
        <w:spacing w:after="60"/>
        <w:ind w:left="397"/>
        <w:jc w:val="both"/>
      </w:pPr>
      <w:r>
        <w:rPr>
          <w:rFonts w:ascii="Calibri" w:hAnsi="Calibri"/>
          <w:color w:val="1A1A1A"/>
          <w:sz w:val="24"/>
        </w:rPr>
        <w:t>Apresentar o uso fora da indicação como técnica consagrada ou como padrão do mercado.</w:t>
      </w:r>
    </w:p>
    <w:p>
      <w:pPr>
        <w:pStyle w:val="ListBullet"/>
        <w:spacing w:after="60"/>
        <w:ind w:left="397"/>
        <w:jc w:val="both"/>
      </w:pPr>
      <w:r>
        <w:rPr>
          <w:rFonts w:ascii="Calibri" w:hAnsi="Calibri"/>
          <w:color w:val="1A1A1A"/>
          <w:sz w:val="24"/>
        </w:rPr>
        <w:t>Usar a expressão fora de bula como se fosse detalhe formal sem consequência.</w:t>
      </w:r>
    </w:p>
    <w:p>
      <w:pPr>
        <w:pStyle w:val="ListBullet"/>
        <w:spacing w:after="60"/>
        <w:ind w:left="397"/>
        <w:jc w:val="both"/>
      </w:pPr>
      <w:r>
        <w:rPr>
          <w:rFonts w:ascii="Calibri" w:hAnsi="Calibri"/>
          <w:color w:val="1A1A1A"/>
          <w:sz w:val="24"/>
        </w:rPr>
        <w:t>Divulgar publicamente resultado obtido em uso fora da indicação aprovada como demonstração de eficácia.</w:t>
      </w:r>
    </w:p>
    <w:p>
      <w:pPr>
        <w:pStyle w:val="ListBullet"/>
        <w:spacing w:after="60"/>
        <w:ind w:left="397"/>
        <w:jc w:val="both"/>
      </w:pPr>
      <w:r>
        <w:rPr>
          <w:rFonts w:ascii="Calibri" w:hAnsi="Calibri"/>
          <w:color w:val="1A1A1A"/>
          <w:sz w:val="24"/>
        </w:rPr>
        <w:t>Presumir a finalidade aprovada a partir de material de fabricante, de curso ou da prática de terceiros, sem consultar a base oficial.</w:t>
      </w:r>
    </w:p>
    <w:p>
      <w:pPr>
        <w:pStyle w:val="ListBullet"/>
        <w:spacing w:after="60"/>
        <w:ind w:left="397"/>
        <w:jc w:val="both"/>
      </w:pPr>
      <w:r>
        <w:rPr>
          <w:rFonts w:ascii="Calibri" w:hAnsi="Calibri"/>
          <w:color w:val="1A1A1A"/>
          <w:sz w:val="24"/>
        </w:rPr>
        <w:t>Deixar de registrar por entender que o uso é comum entre colegas.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Uma observação sobre publicidade</w:t>
            </w:r>
          </w:p>
          <w:p>
            <w:pPr>
              <w:spacing w:after="0"/>
              <w:jc w:val="both"/>
            </w:pPr>
            <w:r>
              <w:rPr>
                <w:rFonts w:ascii="Calibri" w:hAnsi="Calibri"/>
                <w:color w:val="1A1A1A"/>
                <w:sz w:val="24"/>
              </w:rPr>
              <w:t>Divulgar resultado de uso fora da indicação aprovada acumula dois problemas: a promessa de resultado, vedada eticamente, e a sugestão de que aquele uso é o padrão. Se a escolha exige termo específico de ciência do paciente, ela não é material de divulgação.</w:t>
            </w:r>
          </w:p>
        </w:tc>
      </w:tr>
    </w:tbl>
    <w:p>
      <w:pPr>
        <w:spacing w:after="80"/>
      </w:pP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378"/>
        <w:gridCol w:w="3117"/>
        <w:gridCol w:w="3577"/>
      </w:tblGrid>
      <w:tr>
        <w:trPr>
          <w:cantSplit/>
          <w:tblHeader/>
        </w:trPr>
        <w:tc>
          <w:tcPr>
            <w:tcW w:type="dxa" w:w="2378"/>
            <w:shd w:val="clear" w:color="auto" w:fill="143C64"/>
          </w:tcPr>
          <w:p>
            <w:pPr>
              <w:spacing w:after="0"/>
              <w:jc w:val="left"/>
            </w:pPr>
            <w:r/>
            <w:r>
              <w:rPr>
                <w:rFonts w:ascii="Calibri" w:hAnsi="Calibri"/>
                <w:b/>
                <w:color w:val="FFFFFF"/>
                <w:sz w:val="24"/>
              </w:rPr>
              <w:t>Ato</w:t>
            </w:r>
          </w:p>
        </w:tc>
        <w:tc>
          <w:tcPr>
            <w:tcW w:type="dxa" w:w="3117"/>
            <w:shd w:val="clear" w:color="auto" w:fill="143C64"/>
          </w:tcPr>
          <w:p>
            <w:pPr>
              <w:spacing w:after="0"/>
              <w:jc w:val="left"/>
            </w:pPr>
            <w:r/>
            <w:r>
              <w:rPr>
                <w:rFonts w:ascii="Calibri" w:hAnsi="Calibri"/>
                <w:b/>
                <w:color w:val="FFFFFF"/>
                <w:sz w:val="24"/>
              </w:rPr>
              <w:t>Objeto</w:t>
            </w:r>
          </w:p>
        </w:tc>
        <w:tc>
          <w:tcPr>
            <w:tcW w:type="dxa" w:w="3577"/>
            <w:shd w:val="clear" w:color="auto" w:fill="143C64"/>
          </w:tcPr>
          <w:p>
            <w:pPr>
              <w:spacing w:after="0"/>
              <w:jc w:val="left"/>
            </w:pPr>
            <w:r/>
            <w:r>
              <w:rPr>
                <w:rFonts w:ascii="Calibri" w:hAnsi="Calibri"/>
                <w:b/>
                <w:color w:val="FFFFFF"/>
                <w:sz w:val="24"/>
              </w:rPr>
              <w:t>Incidência no pacote</w:t>
            </w:r>
          </w:p>
        </w:tc>
      </w:tr>
      <w:tr>
        <w:trPr>
          <w:cantSplit/>
        </w:trPr>
        <w:tc>
          <w:tcPr>
            <w:tcW w:type="dxa" w:w="2378"/>
          </w:tcPr>
          <w:p>
            <w:pPr>
              <w:spacing w:after="0"/>
              <w:jc w:val="left"/>
            </w:pPr>
            <w:r/>
            <w:r>
              <w:rPr>
                <w:rFonts w:ascii="Calibri" w:hAnsi="Calibri"/>
                <w:b w:val="0"/>
                <w:color w:val="1A1A1A"/>
                <w:sz w:val="24"/>
              </w:rPr>
              <w:t>Lei nº 5.081, de 24 de agosto de 1966</w:t>
            </w:r>
          </w:p>
        </w:tc>
        <w:tc>
          <w:tcPr>
            <w:tcW w:type="dxa" w:w="3117"/>
          </w:tcPr>
          <w:p>
            <w:pPr>
              <w:spacing w:after="0"/>
              <w:jc w:val="left"/>
            </w:pPr>
            <w:r/>
            <w:r>
              <w:rPr>
                <w:rFonts w:ascii="Calibri" w:hAnsi="Calibri"/>
                <w:b w:val="0"/>
                <w:color w:val="1A1A1A"/>
                <w:sz w:val="24"/>
              </w:rPr>
              <w:t>Regula o exercício da Odontologia no Brasil.</w:t>
            </w:r>
          </w:p>
        </w:tc>
        <w:tc>
          <w:tcPr>
            <w:tcW w:type="dxa" w:w="3577"/>
          </w:tcPr>
          <w:p>
            <w:pPr>
              <w:spacing w:after="0"/>
              <w:jc w:val="left"/>
            </w:pPr>
            <w:r/>
            <w:r>
              <w:rPr>
                <w:rFonts w:ascii="Calibri" w:hAnsi="Calibri"/>
                <w:b w:val="0"/>
                <w:color w:val="1A1A1A"/>
                <w:sz w:val="24"/>
              </w:rPr>
              <w:t>Base legal do exercício profissional.</w:t>
            </w:r>
          </w:p>
        </w:tc>
      </w:tr>
      <w:tr>
        <w:trPr>
          <w:cantSplit/>
        </w:trPr>
        <w:tc>
          <w:tcPr>
            <w:tcW w:type="dxa" w:w="2378"/>
            <w:shd w:val="clear" w:color="auto" w:fill="F2F5F8"/>
          </w:tcPr>
          <w:p>
            <w:pPr>
              <w:spacing w:after="0"/>
              <w:jc w:val="left"/>
            </w:pPr>
            <w:r/>
            <w:r>
              <w:rPr>
                <w:rFonts w:ascii="Calibri" w:hAnsi="Calibri"/>
                <w:b w:val="0"/>
                <w:color w:val="1A1A1A"/>
                <w:sz w:val="24"/>
              </w:rPr>
              <w:t>Resolução CFO nº 118/2012</w:t>
            </w:r>
          </w:p>
        </w:tc>
        <w:tc>
          <w:tcPr>
            <w:tcW w:type="dxa" w:w="3117"/>
            <w:shd w:val="clear" w:color="auto" w:fill="F2F5F8"/>
          </w:tcPr>
          <w:p>
            <w:pPr>
              <w:spacing w:after="0"/>
              <w:jc w:val="left"/>
            </w:pPr>
            <w:r/>
            <w:r>
              <w:rPr>
                <w:rFonts w:ascii="Calibri" w:hAnsi="Calibri"/>
                <w:b w:val="0"/>
                <w:color w:val="1A1A1A"/>
                <w:sz w:val="24"/>
              </w:rPr>
              <w:t>Código de Ética Odontológica.</w:t>
            </w:r>
          </w:p>
        </w:tc>
        <w:tc>
          <w:tcPr>
            <w:tcW w:type="dxa" w:w="3577"/>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378"/>
          </w:tcPr>
          <w:p>
            <w:pPr>
              <w:spacing w:after="0"/>
              <w:jc w:val="left"/>
            </w:pPr>
            <w:r/>
            <w:r>
              <w:rPr>
                <w:rFonts w:ascii="Calibri" w:hAnsi="Calibri"/>
                <w:b w:val="0"/>
                <w:color w:val="1A1A1A"/>
                <w:sz w:val="24"/>
              </w:rPr>
              <w:t>RDC Anvisa nº 1.002, de 15 de dezembro de 2025</w:t>
            </w:r>
          </w:p>
        </w:tc>
        <w:tc>
          <w:tcPr>
            <w:tcW w:type="dxa" w:w="3117"/>
          </w:tcPr>
          <w:p>
            <w:pPr>
              <w:spacing w:after="0"/>
              <w:jc w:val="left"/>
            </w:pPr>
            <w:r/>
            <w:r>
              <w:rPr>
                <w:rFonts w:ascii="Calibri" w:hAnsi="Calibri"/>
                <w:b w:val="0"/>
                <w:color w:val="1A1A1A"/>
                <w:sz w:val="24"/>
              </w:rPr>
              <w:t>Boas Práticas de Funcionamento para serviços que prestam assistência odontológica.</w:t>
            </w:r>
          </w:p>
        </w:tc>
        <w:tc>
          <w:tcPr>
            <w:tcW w:type="dxa" w:w="3577"/>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378"/>
            <w:shd w:val="clear" w:color="auto" w:fill="F2F5F8"/>
          </w:tcPr>
          <w:p>
            <w:pPr>
              <w:spacing w:after="0"/>
              <w:jc w:val="left"/>
            </w:pPr>
            <w:r/>
            <w:r>
              <w:rPr>
                <w:rFonts w:ascii="Calibri" w:hAnsi="Calibri"/>
                <w:b w:val="0"/>
                <w:color w:val="1A1A1A"/>
                <w:sz w:val="24"/>
              </w:rPr>
              <w:t>RDC Anvisa nº 63/2011</w:t>
            </w:r>
          </w:p>
        </w:tc>
        <w:tc>
          <w:tcPr>
            <w:tcW w:type="dxa" w:w="3117"/>
            <w:shd w:val="clear" w:color="auto" w:fill="F2F5F8"/>
          </w:tcPr>
          <w:p>
            <w:pPr>
              <w:spacing w:after="0"/>
              <w:jc w:val="left"/>
            </w:pPr>
            <w:r/>
            <w:r>
              <w:rPr>
                <w:rFonts w:ascii="Calibri" w:hAnsi="Calibri"/>
                <w:b w:val="0"/>
                <w:color w:val="1A1A1A"/>
                <w:sz w:val="24"/>
              </w:rPr>
              <w:t>Boas Práticas de Funcionamento para serviços de saúde.</w:t>
            </w:r>
          </w:p>
        </w:tc>
        <w:tc>
          <w:tcPr>
            <w:tcW w:type="dxa" w:w="3577"/>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378"/>
          </w:tcPr>
          <w:p>
            <w:pPr>
              <w:spacing w:after="0"/>
              <w:jc w:val="left"/>
            </w:pPr>
            <w:r/>
            <w:r>
              <w:rPr>
                <w:rFonts w:ascii="Calibri" w:hAnsi="Calibri"/>
                <w:b w:val="0"/>
                <w:color w:val="1A1A1A"/>
                <w:sz w:val="24"/>
              </w:rPr>
              <w:t>RDC Anvisa nº 509/2021</w:t>
            </w:r>
          </w:p>
        </w:tc>
        <w:tc>
          <w:tcPr>
            <w:tcW w:type="dxa" w:w="3117"/>
          </w:tcPr>
          <w:p>
            <w:pPr>
              <w:spacing w:after="0"/>
              <w:jc w:val="left"/>
            </w:pPr>
            <w:r/>
            <w:r>
              <w:rPr>
                <w:rFonts w:ascii="Calibri" w:hAnsi="Calibri"/>
                <w:b w:val="0"/>
                <w:color w:val="1A1A1A"/>
                <w:sz w:val="24"/>
              </w:rPr>
              <w:t>Gerenciamento de tecnologias em serviços de saúde.</w:t>
            </w:r>
          </w:p>
        </w:tc>
        <w:tc>
          <w:tcPr>
            <w:tcW w:type="dxa" w:w="3577"/>
          </w:tcPr>
          <w:p>
            <w:pPr>
              <w:spacing w:after="0"/>
              <w:jc w:val="left"/>
            </w:pPr>
            <w:r/>
            <w:r>
              <w:rPr>
                <w:rFonts w:ascii="Calibri" w:hAnsi="Calibri"/>
                <w:b w:val="0"/>
                <w:color w:val="1A1A1A"/>
                <w:sz w:val="24"/>
              </w:rPr>
              <w:t>Plano de gerenciamento, rastreabilidade, guarda e monitoramento.</w:t>
            </w:r>
          </w:p>
        </w:tc>
      </w:tr>
      <w:tr>
        <w:trPr>
          <w:cantSplit/>
        </w:trPr>
        <w:tc>
          <w:tcPr>
            <w:tcW w:type="dxa" w:w="2378"/>
            <w:shd w:val="clear" w:color="auto" w:fill="F2F5F8"/>
          </w:tcPr>
          <w:p>
            <w:pPr>
              <w:spacing w:after="0"/>
              <w:jc w:val="left"/>
            </w:pPr>
            <w:r/>
            <w:r>
              <w:rPr>
                <w:rFonts w:ascii="Calibri" w:hAnsi="Calibri"/>
                <w:b w:val="0"/>
                <w:color w:val="1A1A1A"/>
                <w:sz w:val="24"/>
              </w:rPr>
              <w:t>RDC Anvisa nº 751/2022</w:t>
            </w:r>
          </w:p>
        </w:tc>
        <w:tc>
          <w:tcPr>
            <w:tcW w:type="dxa" w:w="3117"/>
            <w:shd w:val="clear" w:color="auto" w:fill="F2F5F8"/>
          </w:tcPr>
          <w:p>
            <w:pPr>
              <w:spacing w:after="0"/>
              <w:jc w:val="left"/>
            </w:pPr>
            <w:r/>
            <w:r>
              <w:rPr>
                <w:rFonts w:ascii="Calibri" w:hAnsi="Calibri"/>
                <w:b w:val="0"/>
                <w:color w:val="1A1A1A"/>
                <w:sz w:val="24"/>
              </w:rPr>
              <w:t>Dispositivos médicos: classificação e regularização.</w:t>
            </w:r>
          </w:p>
        </w:tc>
        <w:tc>
          <w:tcPr>
            <w:tcW w:type="dxa" w:w="3577"/>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378"/>
          </w:tcPr>
          <w:p>
            <w:pPr>
              <w:spacing w:after="0"/>
              <w:jc w:val="left"/>
            </w:pPr>
            <w:r/>
            <w:r>
              <w:rPr>
                <w:rFonts w:ascii="Calibri" w:hAnsi="Calibri"/>
                <w:b w:val="0"/>
                <w:color w:val="1A1A1A"/>
                <w:sz w:val="24"/>
              </w:rPr>
              <w:t>RDC Anvisa nº 549/2021</w:t>
            </w:r>
          </w:p>
        </w:tc>
        <w:tc>
          <w:tcPr>
            <w:tcW w:type="dxa" w:w="3117"/>
          </w:tcPr>
          <w:p>
            <w:pPr>
              <w:spacing w:after="0"/>
              <w:jc w:val="left"/>
            </w:pPr>
            <w:r/>
            <w:r>
              <w:rPr>
                <w:rFonts w:ascii="Calibri" w:hAnsi="Calibri"/>
                <w:b w:val="0"/>
                <w:color w:val="1A1A1A"/>
                <w:sz w:val="24"/>
              </w:rPr>
              <w:t>Certificação de conformidade de equipamentos sob regime aplicável.</w:t>
            </w:r>
          </w:p>
        </w:tc>
        <w:tc>
          <w:tcPr>
            <w:tcW w:type="dxa" w:w="3577"/>
          </w:tcPr>
          <w:p>
            <w:pPr>
              <w:spacing w:after="0"/>
              <w:jc w:val="left"/>
            </w:pPr>
            <w:r/>
            <w:r>
              <w:rPr>
                <w:rFonts w:ascii="Calibri" w:hAnsi="Calibri"/>
                <w:b w:val="0"/>
                <w:color w:val="1A1A1A"/>
                <w:sz w:val="24"/>
              </w:rPr>
              <w:t>Conformidade de equipamentos eletromédicos.</w:t>
            </w:r>
          </w:p>
        </w:tc>
      </w:tr>
      <w:tr>
        <w:trPr>
          <w:cantSplit/>
        </w:trPr>
        <w:tc>
          <w:tcPr>
            <w:tcW w:type="dxa" w:w="2378"/>
            <w:shd w:val="clear" w:color="auto" w:fill="F2F5F8"/>
          </w:tcPr>
          <w:p>
            <w:pPr>
              <w:spacing w:after="0"/>
              <w:jc w:val="left"/>
            </w:pPr>
            <w:r/>
            <w:r>
              <w:rPr>
                <w:rFonts w:ascii="Calibri" w:hAnsi="Calibri"/>
                <w:b w:val="0"/>
                <w:color w:val="1A1A1A"/>
                <w:sz w:val="24"/>
              </w:rPr>
              <w:t>Lei nº 13.709/2018</w:t>
            </w:r>
          </w:p>
        </w:tc>
        <w:tc>
          <w:tcPr>
            <w:tcW w:type="dxa" w:w="3117"/>
            <w:shd w:val="clear" w:color="auto" w:fill="F2F5F8"/>
          </w:tcPr>
          <w:p>
            <w:pPr>
              <w:spacing w:after="0"/>
              <w:jc w:val="left"/>
            </w:pPr>
            <w:r/>
            <w:r>
              <w:rPr>
                <w:rFonts w:ascii="Calibri" w:hAnsi="Calibri"/>
                <w:b w:val="0"/>
                <w:color w:val="1A1A1A"/>
                <w:sz w:val="24"/>
              </w:rPr>
              <w:t>Lei Geral de Proteção de Dados Pessoais.</w:t>
            </w:r>
          </w:p>
        </w:tc>
        <w:tc>
          <w:tcPr>
            <w:tcW w:type="dxa" w:w="3577"/>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378"/>
          </w:tcPr>
          <w:p>
            <w:pPr>
              <w:spacing w:after="0"/>
              <w:jc w:val="left"/>
            </w:pPr>
            <w:r/>
            <w:r>
              <w:rPr>
                <w:rFonts w:ascii="Calibri" w:hAnsi="Calibri"/>
                <w:b w:val="0"/>
                <w:color w:val="1A1A1A"/>
                <w:sz w:val="24"/>
              </w:rPr>
              <w:t>Lei nº 15.378, de 6 de abril de 2026</w:t>
            </w:r>
          </w:p>
        </w:tc>
        <w:tc>
          <w:tcPr>
            <w:tcW w:type="dxa" w:w="3117"/>
          </w:tcPr>
          <w:p>
            <w:pPr>
              <w:spacing w:after="0"/>
              <w:jc w:val="left"/>
            </w:pPr>
            <w:r/>
            <w:r>
              <w:rPr>
                <w:rFonts w:ascii="Calibri" w:hAnsi="Calibri"/>
                <w:b w:val="0"/>
                <w:color w:val="1A1A1A"/>
                <w:sz w:val="24"/>
              </w:rPr>
              <w:t>Institui o Estatuto dos Direitos do Paciente.</w:t>
            </w:r>
          </w:p>
        </w:tc>
        <w:tc>
          <w:tcPr>
            <w:tcW w:type="dxa" w:w="3577"/>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378"/>
            <w:shd w:val="clear" w:color="auto" w:fill="F2F5F8"/>
          </w:tcPr>
          <w:p>
            <w:pPr>
              <w:spacing w:after="0"/>
              <w:jc w:val="left"/>
            </w:pPr>
            <w:r/>
            <w:r>
              <w:rPr>
                <w:rFonts w:ascii="Calibri" w:hAnsi="Calibri"/>
                <w:b w:val="0"/>
                <w:color w:val="1A1A1A"/>
                <w:sz w:val="24"/>
              </w:rPr>
              <w:t>Lei nº 12.842/2013</w:t>
            </w:r>
          </w:p>
        </w:tc>
        <w:tc>
          <w:tcPr>
            <w:tcW w:type="dxa" w:w="3117"/>
            <w:shd w:val="clear" w:color="auto" w:fill="F2F5F8"/>
          </w:tcPr>
          <w:p>
            <w:pPr>
              <w:spacing w:after="0"/>
              <w:jc w:val="left"/>
            </w:pPr>
            <w:r/>
            <w:r>
              <w:rPr>
                <w:rFonts w:ascii="Calibri" w:hAnsi="Calibri"/>
                <w:b w:val="0"/>
                <w:color w:val="1A1A1A"/>
                <w:sz w:val="24"/>
              </w:rPr>
              <w:t>Lei do Ato Médico.</w:t>
            </w:r>
          </w:p>
        </w:tc>
        <w:tc>
          <w:tcPr>
            <w:tcW w:type="dxa" w:w="3577"/>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378"/>
          </w:tcPr>
          <w:p>
            <w:pPr>
              <w:spacing w:after="0"/>
              <w:jc w:val="left"/>
            </w:pPr>
            <w:r/>
            <w:r>
              <w:rPr>
                <w:rFonts w:ascii="Calibri" w:hAnsi="Calibri"/>
                <w:b w:val="0"/>
                <w:color w:val="1A1A1A"/>
                <w:sz w:val="24"/>
              </w:rPr>
              <w:t>Portaria CRO-MG nº 190/2026</w:t>
            </w:r>
          </w:p>
        </w:tc>
        <w:tc>
          <w:tcPr>
            <w:tcW w:type="dxa" w:w="3117"/>
          </w:tcPr>
          <w:p>
            <w:pPr>
              <w:spacing w:after="0"/>
              <w:jc w:val="left"/>
            </w:pPr>
            <w:r/>
            <w:r>
              <w:rPr>
                <w:rFonts w:ascii="Calibri" w:hAnsi="Calibri"/>
                <w:b w:val="0"/>
                <w:color w:val="1A1A1A"/>
                <w:sz w:val="24"/>
              </w:rPr>
              <w:t>Constitui a Câmara Técnica de HOF e seus Núcleos.</w:t>
            </w:r>
          </w:p>
        </w:tc>
        <w:tc>
          <w:tcPr>
            <w:tcW w:type="dxa" w:w="3577"/>
          </w:tcPr>
          <w:p>
            <w:pPr>
              <w:spacing w:after="0"/>
              <w:jc w:val="left"/>
            </w:pPr>
            <w:r/>
            <w:r>
              <w:rPr>
                <w:rFonts w:ascii="Calibri" w:hAnsi="Calibri"/>
                <w:b w:val="0"/>
                <w:color w:val="1A1A1A"/>
                <w:sz w:val="24"/>
              </w:rPr>
              <w:t>Competência e composição do Núcleo 5.</w:t>
            </w:r>
          </w:p>
        </w:tc>
      </w:tr>
    </w:tbl>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CT-HOF-COM-02 · Comunicado sobre Uso Fora da Indicação Aprovada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Câmara Técnica de HOF · CRO-MG | CT-HOF-COM-02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