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PRODUTO DA META M9</w:t>
      </w:r>
    </w:p>
    <w:p>
      <w:pPr>
        <w:spacing w:after="160"/>
        <w:jc w:val="center"/>
      </w:pPr>
      <w:r>
        <w:rPr>
          <w:rFonts w:ascii="Calibri" w:hAnsi="Calibri"/>
          <w:b/>
          <w:color w:val="143C64"/>
          <w:sz w:val="48"/>
        </w:rPr>
        <w:t>Relatório-piloto de Tecnologias Emergentes</w:t>
      </w:r>
    </w:p>
    <w:p>
      <w:pPr>
        <w:spacing w:after="720"/>
        <w:jc w:val="center"/>
      </w:pPr>
      <w:r>
        <w:rPr>
          <w:rFonts w:ascii="Calibri" w:hAnsi="Calibri"/>
          <w:b w:val="0"/>
          <w:i w:val="0"/>
          <w:color w:val="444A52"/>
          <w:sz w:val="26"/>
        </w:rPr>
        <w:t>Radar tecnológico do ciclo 2026 e aplicação da Matriz de Avaliação em oito dimensões à tecnologia-piloto, com evidência verificada e lacunas declaradas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N5-REL-01</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2.0</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25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Consolidado para revisão interna e validação institucional</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Escopo e advertência de uso</w:t>
      </w:r>
    </w:p>
    <w:p>
      <w:pPr>
        <w:spacing w:after="120"/>
        <w:jc w:val="both"/>
      </w:pPr>
      <w:r>
        <w:rPr>
          <w:rFonts w:ascii="Calibri" w:hAnsi="Calibri"/>
          <w:b w:val="0"/>
          <w:i w:val="0"/>
          <w:color w:val="1A1A1A"/>
          <w:sz w:val="24"/>
        </w:rPr>
        <w:t>Este relatório organiza as tecnologias citadas no planejamento do Núcleo 5 segundo maturidade, risco, evidência e necessidade de governança, e aplica a Matriz de Avaliação em oito dimensões à tecnologia proposta como piloto. Não constitui homologação de produto, indicação comercial ou autorização de uso. A classificação deve ser atualizada diante de nova evidência, alteração regulatória ou deliberação institucional.</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Advertência sobre o objeto da avaliação</w:t>
            </w:r>
          </w:p>
          <w:p>
            <w:pPr>
              <w:spacing w:after="0"/>
              <w:jc w:val="both"/>
            </w:pPr>
            <w:r>
              <w:rPr>
                <w:rFonts w:ascii="Calibri" w:hAnsi="Calibri"/>
                <w:color w:val="1A1A1A"/>
                <w:sz w:val="24"/>
              </w:rPr>
              <w:t>Este relatório avalia classes tecnológicas, não produtos comerciais específicos. Nenhuma marca, fabricante ou modelo é nomeado. A avaliação de um equipamento específico exige aplicação individual da Matriz, com consulta às bases oficiais e registro da data, e pertence ao serviço que pretende adotá-lo.</w:t>
            </w:r>
          </w:p>
        </w:tc>
      </w:tr>
    </w:tbl>
    <w:p>
      <w:pPr>
        <w:spacing w:after="80"/>
      </w:pP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Divergência entre este relatório e o indicador da Meta M9</w:t>
            </w:r>
          </w:p>
          <w:p>
            <w:pPr>
              <w:spacing w:after="0"/>
              <w:jc w:val="both"/>
            </w:pPr>
            <w:r>
              <w:rPr>
                <w:rFonts w:ascii="Calibri" w:hAnsi="Calibri"/>
                <w:color w:val="1A1A1A"/>
                <w:sz w:val="24"/>
              </w:rPr>
              <w:t>O indicador aprovado da Meta M9 prevê relatório aplicando as seis dimensões da grade. Este relatório aplica oito, por força da harmonização registrada no documento 06, que acrescentou capacitação e infraestrutura e governança de dados. A entrega é mais completa do que o indicador exige, mas não coincide com ele. A divergência não se resolve por si: exige deliberação do colegiado atualizando o indicador de seis para oito dimensões. Enquanto isso não ocorrer, este relatório deve ser lido como entrega superior e formalmente não coincidente com o indicador que deveria cumprir. Registrar isso é preferível a apresentar a meta como cumprida sem ressalva.</w:t>
            </w:r>
          </w:p>
        </w:tc>
      </w:tr>
    </w:tbl>
    <w:p>
      <w:pPr>
        <w:spacing w:after="80"/>
      </w:pP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4"/>
        <w:gridCol w:w="5498"/>
      </w:tblGrid>
      <w:tr>
        <w:trPr>
          <w:cantSplit/>
          <w:tblHeader/>
        </w:trPr>
        <w:tc>
          <w:tcPr>
            <w:tcW w:type="dxa" w:w="3574"/>
            <w:shd w:val="clear" w:color="auto" w:fill="143C64"/>
          </w:tcPr>
          <w:p>
            <w:pPr>
              <w:spacing w:after="0"/>
              <w:jc w:val="left"/>
            </w:pPr>
            <w:r/>
            <w:r>
              <w:rPr>
                <w:rFonts w:ascii="Calibri" w:hAnsi="Calibri"/>
                <w:b/>
                <w:color w:val="FFFFFF"/>
                <w:sz w:val="24"/>
              </w:rPr>
              <w:t>Categoria</w:t>
            </w:r>
          </w:p>
        </w:tc>
        <w:tc>
          <w:tcPr>
            <w:tcW w:type="dxa" w:w="5498"/>
            <w:shd w:val="clear" w:color="auto" w:fill="143C64"/>
          </w:tcPr>
          <w:p>
            <w:pPr>
              <w:spacing w:after="0"/>
              <w:jc w:val="left"/>
            </w:pPr>
            <w:r/>
            <w:r>
              <w:rPr>
                <w:rFonts w:ascii="Calibri" w:hAnsi="Calibri"/>
                <w:b/>
                <w:color w:val="FFFFFF"/>
                <w:sz w:val="24"/>
              </w:rPr>
              <w:t>Definição</w:t>
            </w:r>
          </w:p>
        </w:tc>
      </w:tr>
      <w:tr>
        <w:trPr>
          <w:cantSplit/>
        </w:trPr>
        <w:tc>
          <w:tcPr>
            <w:tcW w:type="dxa" w:w="3574"/>
          </w:tcPr>
          <w:p>
            <w:pPr>
              <w:spacing w:after="0"/>
              <w:jc w:val="left"/>
            </w:pPr>
            <w:r/>
            <w:r>
              <w:rPr>
                <w:rFonts w:ascii="Calibri" w:hAnsi="Calibri"/>
                <w:b/>
                <w:color w:val="1A1A1A"/>
                <w:sz w:val="24"/>
              </w:rPr>
              <w:t>EXIGÊNCIA NORMATIVA</w:t>
            </w:r>
          </w:p>
        </w:tc>
        <w:tc>
          <w:tcPr>
            <w:tcW w:type="dxa" w:w="5498"/>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574"/>
            <w:shd w:val="clear" w:color="auto" w:fill="F2F5F8"/>
          </w:tcPr>
          <w:p>
            <w:pPr>
              <w:spacing w:after="0"/>
              <w:jc w:val="left"/>
            </w:pPr>
            <w:r/>
            <w:r>
              <w:rPr>
                <w:rFonts w:ascii="Calibri" w:hAnsi="Calibri"/>
                <w:b/>
                <w:color w:val="1A1A1A"/>
                <w:sz w:val="24"/>
              </w:rPr>
              <w:t>EVIDÊNCIA CIENTÍFICA</w:t>
            </w:r>
          </w:p>
        </w:tc>
        <w:tc>
          <w:tcPr>
            <w:tcW w:type="dxa" w:w="5498"/>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574"/>
          </w:tcPr>
          <w:p>
            <w:pPr>
              <w:spacing w:after="0"/>
              <w:jc w:val="left"/>
            </w:pPr>
            <w:r/>
            <w:r>
              <w:rPr>
                <w:rFonts w:ascii="Calibri" w:hAnsi="Calibri"/>
                <w:b/>
                <w:color w:val="1A1A1A"/>
                <w:sz w:val="24"/>
              </w:rPr>
              <w:t>RECOMENDAÇÃO TÉCNICA</w:t>
            </w:r>
          </w:p>
        </w:tc>
        <w:tc>
          <w:tcPr>
            <w:tcW w:type="dxa" w:w="5498"/>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574"/>
            <w:shd w:val="clear" w:color="auto" w:fill="F2F5F8"/>
          </w:tcPr>
          <w:p>
            <w:pPr>
              <w:spacing w:after="0"/>
              <w:jc w:val="left"/>
            </w:pPr>
            <w:r/>
            <w:r>
              <w:rPr>
                <w:rFonts w:ascii="Calibri" w:hAnsi="Calibri"/>
                <w:b/>
                <w:color w:val="1A1A1A"/>
                <w:sz w:val="24"/>
              </w:rPr>
              <w:t>PENDÊNCIA INSTITUCIONAL</w:t>
            </w:r>
          </w:p>
        </w:tc>
        <w:tc>
          <w:tcPr>
            <w:tcW w:type="dxa" w:w="5498"/>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Radar tecnológico do ciclo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334"/>
        <w:gridCol w:w="1809"/>
        <w:gridCol w:w="2465"/>
        <w:gridCol w:w="2465"/>
      </w:tblGrid>
      <w:tr>
        <w:trPr>
          <w:cantSplit/>
          <w:tblHeader/>
        </w:trPr>
        <w:tc>
          <w:tcPr>
            <w:tcW w:type="dxa" w:w="2334"/>
            <w:shd w:val="clear" w:color="auto" w:fill="143C64"/>
          </w:tcPr>
          <w:p>
            <w:pPr>
              <w:spacing w:after="0"/>
              <w:jc w:val="left"/>
            </w:pPr>
            <w:r/>
            <w:r>
              <w:rPr>
                <w:rFonts w:ascii="Calibri" w:hAnsi="Calibri"/>
                <w:b/>
                <w:color w:val="FFFFFF"/>
                <w:sz w:val="24"/>
              </w:rPr>
              <w:t>Tecnologia ou classe</w:t>
            </w:r>
          </w:p>
        </w:tc>
        <w:tc>
          <w:tcPr>
            <w:tcW w:type="dxa" w:w="1809"/>
            <w:shd w:val="clear" w:color="auto" w:fill="143C64"/>
          </w:tcPr>
          <w:p>
            <w:pPr>
              <w:spacing w:after="0"/>
              <w:jc w:val="left"/>
            </w:pPr>
            <w:r/>
            <w:r>
              <w:rPr>
                <w:rFonts w:ascii="Calibri" w:hAnsi="Calibri"/>
                <w:b/>
                <w:color w:val="FFFFFF"/>
                <w:sz w:val="24"/>
              </w:rPr>
              <w:t>Domínio</w:t>
            </w:r>
          </w:p>
        </w:tc>
        <w:tc>
          <w:tcPr>
            <w:tcW w:type="dxa" w:w="2465"/>
            <w:shd w:val="clear" w:color="auto" w:fill="143C64"/>
          </w:tcPr>
          <w:p>
            <w:pPr>
              <w:spacing w:after="0"/>
              <w:jc w:val="left"/>
            </w:pPr>
            <w:r/>
            <w:r>
              <w:rPr>
                <w:rFonts w:ascii="Calibri" w:hAnsi="Calibri"/>
                <w:b/>
                <w:color w:val="FFFFFF"/>
                <w:sz w:val="24"/>
              </w:rPr>
              <w:t>Leitura atual</w:t>
            </w:r>
          </w:p>
        </w:tc>
        <w:tc>
          <w:tcPr>
            <w:tcW w:type="dxa" w:w="2465"/>
            <w:shd w:val="clear" w:color="auto" w:fill="143C64"/>
          </w:tcPr>
          <w:p>
            <w:pPr>
              <w:spacing w:after="0"/>
              <w:jc w:val="left"/>
            </w:pPr>
            <w:r/>
            <w:r>
              <w:rPr>
                <w:rFonts w:ascii="Calibri" w:hAnsi="Calibri"/>
                <w:b/>
                <w:color w:val="FFFFFF"/>
                <w:sz w:val="24"/>
              </w:rPr>
              <w:t>Encaminhamento</w:t>
            </w:r>
          </w:p>
        </w:tc>
      </w:tr>
      <w:tr>
        <w:trPr>
          <w:cantSplit/>
        </w:trPr>
        <w:tc>
          <w:tcPr>
            <w:tcW w:type="dxa" w:w="2334"/>
          </w:tcPr>
          <w:p>
            <w:pPr>
              <w:spacing w:after="0"/>
              <w:jc w:val="left"/>
            </w:pPr>
            <w:r/>
            <w:r>
              <w:rPr>
                <w:rFonts w:ascii="Calibri" w:hAnsi="Calibri"/>
                <w:b/>
                <w:color w:val="1A1A1A"/>
                <w:sz w:val="24"/>
              </w:rPr>
              <w:t>Ultrassonografia de alta frequência com Doppler</w:t>
            </w:r>
          </w:p>
        </w:tc>
        <w:tc>
          <w:tcPr>
            <w:tcW w:type="dxa" w:w="1809"/>
          </w:tcPr>
          <w:p>
            <w:pPr>
              <w:spacing w:after="0"/>
              <w:jc w:val="left"/>
            </w:pPr>
            <w:r/>
            <w:r>
              <w:rPr>
                <w:rFonts w:ascii="Calibri" w:hAnsi="Calibri"/>
                <w:b w:val="0"/>
                <w:color w:val="1A1A1A"/>
                <w:sz w:val="24"/>
              </w:rPr>
              <w:t>Imagem e apoio ao manejo</w:t>
            </w:r>
          </w:p>
        </w:tc>
        <w:tc>
          <w:tcPr>
            <w:tcW w:type="dxa" w:w="2465"/>
          </w:tcPr>
          <w:p>
            <w:pPr>
              <w:spacing w:after="0"/>
              <w:jc w:val="left"/>
            </w:pPr>
            <w:r/>
            <w:r>
              <w:rPr>
                <w:rFonts w:ascii="Calibri" w:hAnsi="Calibri"/>
                <w:b w:val="0"/>
                <w:color w:val="1A1A1A"/>
                <w:sz w:val="24"/>
              </w:rPr>
              <w:t>Valor agregado elevado em aplicações específicas. Fortemente dependente de capacitação e de interpretação.</w:t>
            </w:r>
          </w:p>
        </w:tc>
        <w:tc>
          <w:tcPr>
            <w:tcW w:type="dxa" w:w="2465"/>
          </w:tcPr>
          <w:p>
            <w:pPr>
              <w:spacing w:after="0"/>
              <w:jc w:val="left"/>
            </w:pPr>
            <w:r/>
            <w:r>
              <w:rPr>
                <w:rFonts w:ascii="Calibri" w:hAnsi="Calibri"/>
                <w:b w:val="0"/>
                <w:color w:val="1A1A1A"/>
                <w:sz w:val="24"/>
              </w:rPr>
              <w:t>Tecnologia-piloto proposta. Ver seção 3.</w:t>
            </w:r>
          </w:p>
        </w:tc>
      </w:tr>
      <w:tr>
        <w:trPr>
          <w:cantSplit/>
        </w:trPr>
        <w:tc>
          <w:tcPr>
            <w:tcW w:type="dxa" w:w="2334"/>
            <w:shd w:val="clear" w:color="auto" w:fill="F2F5F8"/>
          </w:tcPr>
          <w:p>
            <w:pPr>
              <w:spacing w:after="0"/>
              <w:jc w:val="left"/>
            </w:pPr>
            <w:r/>
            <w:r>
              <w:rPr>
                <w:rFonts w:ascii="Calibri" w:hAnsi="Calibri"/>
                <w:b/>
                <w:color w:val="1A1A1A"/>
                <w:sz w:val="24"/>
              </w:rPr>
              <w:t>Lasers, radiofrequência e ultrassom terapêutico</w:t>
            </w:r>
          </w:p>
        </w:tc>
        <w:tc>
          <w:tcPr>
            <w:tcW w:type="dxa" w:w="1809"/>
            <w:shd w:val="clear" w:color="auto" w:fill="F2F5F8"/>
          </w:tcPr>
          <w:p>
            <w:pPr>
              <w:spacing w:after="0"/>
              <w:jc w:val="left"/>
            </w:pPr>
            <w:r/>
            <w:r>
              <w:rPr>
                <w:rFonts w:ascii="Calibri" w:hAnsi="Calibri"/>
                <w:b w:val="0"/>
                <w:color w:val="1A1A1A"/>
                <w:sz w:val="24"/>
              </w:rPr>
              <w:t>Energia</w:t>
            </w:r>
          </w:p>
        </w:tc>
        <w:tc>
          <w:tcPr>
            <w:tcW w:type="dxa" w:w="2465"/>
            <w:shd w:val="clear" w:color="auto" w:fill="F2F5F8"/>
          </w:tcPr>
          <w:p>
            <w:pPr>
              <w:spacing w:after="0"/>
              <w:jc w:val="left"/>
            </w:pPr>
            <w:r/>
            <w:r>
              <w:rPr>
                <w:rFonts w:ascii="Calibri" w:hAnsi="Calibri"/>
                <w:b w:val="0"/>
                <w:color w:val="1A1A1A"/>
                <w:sz w:val="24"/>
              </w:rPr>
              <w:t>Risco térmico e ocular relevante. Desempenho e segurança dependentes de parâmetros e de manutenção.</w:t>
            </w:r>
          </w:p>
        </w:tc>
        <w:tc>
          <w:tcPr>
            <w:tcW w:type="dxa" w:w="2465"/>
            <w:shd w:val="clear" w:color="auto" w:fill="F2F5F8"/>
          </w:tcPr>
          <w:p>
            <w:pPr>
              <w:spacing w:after="0"/>
              <w:jc w:val="left"/>
            </w:pPr>
            <w:r/>
            <w:r>
              <w:rPr>
                <w:rFonts w:ascii="Calibri" w:hAnsi="Calibri"/>
                <w:b w:val="0"/>
                <w:color w:val="1A1A1A"/>
                <w:sz w:val="24"/>
              </w:rPr>
              <w:t>Prioridade alta para POP e dossiê regulatório. Onda 2 de POPs.</w:t>
            </w:r>
          </w:p>
        </w:tc>
      </w:tr>
      <w:tr>
        <w:trPr>
          <w:cantSplit/>
        </w:trPr>
        <w:tc>
          <w:tcPr>
            <w:tcW w:type="dxa" w:w="2334"/>
          </w:tcPr>
          <w:p>
            <w:pPr>
              <w:spacing w:after="0"/>
              <w:jc w:val="left"/>
            </w:pPr>
            <w:r/>
            <w:r>
              <w:rPr>
                <w:rFonts w:ascii="Calibri" w:hAnsi="Calibri"/>
                <w:b/>
                <w:color w:val="1A1A1A"/>
                <w:sz w:val="24"/>
              </w:rPr>
              <w:t>Elastografia</w:t>
            </w:r>
          </w:p>
        </w:tc>
        <w:tc>
          <w:tcPr>
            <w:tcW w:type="dxa" w:w="1809"/>
          </w:tcPr>
          <w:p>
            <w:pPr>
              <w:spacing w:after="0"/>
              <w:jc w:val="left"/>
            </w:pPr>
            <w:r/>
            <w:r>
              <w:rPr>
                <w:rFonts w:ascii="Calibri" w:hAnsi="Calibri"/>
                <w:b w:val="0"/>
                <w:color w:val="1A1A1A"/>
                <w:sz w:val="24"/>
              </w:rPr>
              <w:t>Imagem avançada</w:t>
            </w:r>
          </w:p>
        </w:tc>
        <w:tc>
          <w:tcPr>
            <w:tcW w:type="dxa" w:w="2465"/>
          </w:tcPr>
          <w:p>
            <w:pPr>
              <w:spacing w:after="0"/>
              <w:jc w:val="left"/>
            </w:pPr>
            <w:r/>
            <w:r>
              <w:rPr>
                <w:rFonts w:ascii="Calibri" w:hAnsi="Calibri"/>
                <w:b w:val="0"/>
                <w:color w:val="1A1A1A"/>
                <w:sz w:val="24"/>
              </w:rPr>
              <w:t>Reprodutibilidade de medida demonstrada em escopo estreito, sem validação diagnóstica ampla para Harmonização Orofacial.</w:t>
            </w:r>
          </w:p>
        </w:tc>
        <w:tc>
          <w:tcPr>
            <w:tcW w:type="dxa" w:w="2465"/>
          </w:tcPr>
          <w:p>
            <w:pPr>
              <w:spacing w:after="0"/>
              <w:jc w:val="left"/>
            </w:pPr>
            <w:r/>
            <w:r>
              <w:rPr>
                <w:rFonts w:ascii="Calibri" w:hAnsi="Calibri"/>
                <w:b w:val="0"/>
                <w:color w:val="1A1A1A"/>
                <w:sz w:val="24"/>
              </w:rPr>
              <w:t>Monitoramento e nota exploratória. Sem recomendação de uso diagnóstico rotineiro.</w:t>
            </w:r>
          </w:p>
        </w:tc>
      </w:tr>
      <w:tr>
        <w:trPr>
          <w:cantSplit/>
        </w:trPr>
        <w:tc>
          <w:tcPr>
            <w:tcW w:type="dxa" w:w="2334"/>
            <w:shd w:val="clear" w:color="auto" w:fill="F2F5F8"/>
          </w:tcPr>
          <w:p>
            <w:pPr>
              <w:spacing w:after="0"/>
              <w:jc w:val="left"/>
            </w:pPr>
            <w:r/>
            <w:r>
              <w:rPr>
                <w:rFonts w:ascii="Calibri" w:hAnsi="Calibri"/>
                <w:b/>
                <w:color w:val="1A1A1A"/>
                <w:sz w:val="24"/>
              </w:rPr>
              <w:t>Termografia</w:t>
            </w:r>
          </w:p>
        </w:tc>
        <w:tc>
          <w:tcPr>
            <w:tcW w:type="dxa" w:w="1809"/>
            <w:shd w:val="clear" w:color="auto" w:fill="F2F5F8"/>
          </w:tcPr>
          <w:p>
            <w:pPr>
              <w:spacing w:after="0"/>
              <w:jc w:val="left"/>
            </w:pPr>
            <w:r/>
            <w:r>
              <w:rPr>
                <w:rFonts w:ascii="Calibri" w:hAnsi="Calibri"/>
                <w:b w:val="0"/>
                <w:color w:val="1A1A1A"/>
                <w:sz w:val="24"/>
              </w:rPr>
              <w:t>Imagem funcional</w:t>
            </w:r>
          </w:p>
        </w:tc>
        <w:tc>
          <w:tcPr>
            <w:tcW w:type="dxa" w:w="2465"/>
            <w:shd w:val="clear" w:color="auto" w:fill="F2F5F8"/>
          </w:tcPr>
          <w:p>
            <w:pPr>
              <w:spacing w:after="0"/>
              <w:jc w:val="left"/>
            </w:pPr>
            <w:r/>
            <w:r>
              <w:rPr>
                <w:rFonts w:ascii="Calibri" w:hAnsi="Calibri"/>
                <w:b w:val="0"/>
                <w:color w:val="1A1A1A"/>
                <w:sz w:val="24"/>
              </w:rPr>
              <w:t>Lacuna de literatura indexada consolidada no recorte específico levantado.</w:t>
            </w:r>
          </w:p>
        </w:tc>
        <w:tc>
          <w:tcPr>
            <w:tcW w:type="dxa" w:w="2465"/>
            <w:shd w:val="clear" w:color="auto" w:fill="F2F5F8"/>
          </w:tcPr>
          <w:p>
            <w:pPr>
              <w:spacing w:after="0"/>
              <w:jc w:val="left"/>
            </w:pPr>
            <w:r/>
            <w:r>
              <w:rPr>
                <w:rFonts w:ascii="Calibri" w:hAnsi="Calibri"/>
                <w:b w:val="0"/>
                <w:color w:val="1A1A1A"/>
                <w:sz w:val="24"/>
              </w:rPr>
              <w:t>Monitoramento de horizonte. Não recomendar rotina.</w:t>
            </w:r>
          </w:p>
        </w:tc>
      </w:tr>
      <w:tr>
        <w:trPr>
          <w:cantSplit/>
        </w:trPr>
        <w:tc>
          <w:tcPr>
            <w:tcW w:type="dxa" w:w="2334"/>
          </w:tcPr>
          <w:p>
            <w:pPr>
              <w:spacing w:after="0"/>
              <w:jc w:val="left"/>
            </w:pPr>
            <w:r/>
            <w:r>
              <w:rPr>
                <w:rFonts w:ascii="Calibri" w:hAnsi="Calibri"/>
                <w:b/>
                <w:color w:val="1A1A1A"/>
                <w:sz w:val="24"/>
              </w:rPr>
              <w:t>Inteligência artificial</w:t>
            </w:r>
          </w:p>
        </w:tc>
        <w:tc>
          <w:tcPr>
            <w:tcW w:type="dxa" w:w="1809"/>
          </w:tcPr>
          <w:p>
            <w:pPr>
              <w:spacing w:after="0"/>
              <w:jc w:val="left"/>
            </w:pPr>
            <w:r/>
            <w:r>
              <w:rPr>
                <w:rFonts w:ascii="Calibri" w:hAnsi="Calibri"/>
                <w:b w:val="0"/>
                <w:color w:val="1A1A1A"/>
                <w:sz w:val="24"/>
              </w:rPr>
              <w:t>Software e apoio à decisão</w:t>
            </w:r>
          </w:p>
        </w:tc>
        <w:tc>
          <w:tcPr>
            <w:tcW w:type="dxa" w:w="2465"/>
          </w:tcPr>
          <w:p>
            <w:pPr>
              <w:spacing w:after="0"/>
              <w:jc w:val="left"/>
            </w:pPr>
            <w:r/>
            <w:r>
              <w:rPr>
                <w:rFonts w:ascii="Calibri" w:hAnsi="Calibri"/>
                <w:b w:val="0"/>
                <w:color w:val="1A1A1A"/>
                <w:sz w:val="24"/>
              </w:rPr>
              <w:t>Evidência em evolução, com predomínio de estudos de desenvolvimento e validação. Riscos de viés, transparência, dados e delegação indevida.</w:t>
            </w:r>
          </w:p>
        </w:tc>
        <w:tc>
          <w:tcPr>
            <w:tcW w:type="dxa" w:w="2465"/>
          </w:tcPr>
          <w:p>
            <w:pPr>
              <w:spacing w:after="0"/>
              <w:jc w:val="left"/>
            </w:pPr>
            <w:r/>
            <w:r>
              <w:rPr>
                <w:rFonts w:ascii="Calibri" w:hAnsi="Calibri"/>
                <w:b w:val="0"/>
                <w:color w:val="1A1A1A"/>
                <w:sz w:val="24"/>
              </w:rPr>
              <w:t>Critérios e salvaguardas, sem recomendação de ferramenta específica. Ver seção 4.</w:t>
            </w:r>
          </w:p>
        </w:tc>
      </w:tr>
      <w:tr>
        <w:trPr>
          <w:cantSplit/>
        </w:trPr>
        <w:tc>
          <w:tcPr>
            <w:tcW w:type="dxa" w:w="2334"/>
            <w:shd w:val="clear" w:color="auto" w:fill="F2F5F8"/>
          </w:tcPr>
          <w:p>
            <w:pPr>
              <w:spacing w:after="0"/>
              <w:jc w:val="left"/>
            </w:pPr>
            <w:r/>
            <w:r>
              <w:rPr>
                <w:rFonts w:ascii="Calibri" w:hAnsi="Calibri"/>
                <w:b/>
                <w:color w:val="1A1A1A"/>
                <w:sz w:val="24"/>
              </w:rPr>
              <w:t>Ultrassonografia avançada: elastografia diagnóstica, reconstrução tridimensional e emissão de laudo</w:t>
            </w:r>
          </w:p>
        </w:tc>
        <w:tc>
          <w:tcPr>
            <w:tcW w:type="dxa" w:w="1809"/>
            <w:shd w:val="clear" w:color="auto" w:fill="F2F5F8"/>
          </w:tcPr>
          <w:p>
            <w:pPr>
              <w:spacing w:after="0"/>
              <w:jc w:val="left"/>
            </w:pPr>
            <w:r/>
            <w:r>
              <w:rPr>
                <w:rFonts w:ascii="Calibri" w:hAnsi="Calibri"/>
                <w:b w:val="0"/>
                <w:color w:val="1A1A1A"/>
                <w:sz w:val="24"/>
              </w:rPr>
              <w:t>Imagem avançada</w:t>
            </w:r>
          </w:p>
        </w:tc>
        <w:tc>
          <w:tcPr>
            <w:tcW w:type="dxa" w:w="2465"/>
            <w:shd w:val="clear" w:color="auto" w:fill="F2F5F8"/>
          </w:tcPr>
          <w:p>
            <w:pPr>
              <w:spacing w:after="0"/>
              <w:jc w:val="left"/>
            </w:pPr>
            <w:r/>
            <w:r>
              <w:rPr>
                <w:rFonts w:ascii="Calibri" w:hAnsi="Calibri"/>
                <w:b w:val="0"/>
                <w:color w:val="1A1A1A"/>
                <w:sz w:val="24"/>
              </w:rPr>
              <w:t>Conjunto de aplicações cuja competência profissional está sob discussão judicial na data desta versão, e cuja evidência de validação diagnóstica não foi verificada pelo Núcleo.</w:t>
            </w:r>
          </w:p>
        </w:tc>
        <w:tc>
          <w:tcPr>
            <w:tcW w:type="dxa" w:w="2465"/>
            <w:shd w:val="clear" w:color="auto" w:fill="F2F5F8"/>
          </w:tcPr>
          <w:p>
            <w:pPr>
              <w:spacing w:after="0"/>
              <w:jc w:val="left"/>
            </w:pPr>
            <w:r/>
            <w:r>
              <w:rPr>
                <w:rFonts w:ascii="Calibri" w:hAnsi="Calibri"/>
                <w:b w:val="0"/>
                <w:color w:val="1A1A1A"/>
                <w:sz w:val="24"/>
              </w:rPr>
              <w:t>Produção documental suspensa até manifestação institucional sobre escopo.</w:t>
            </w:r>
          </w:p>
        </w:tc>
      </w:tr>
      <w:tr>
        <w:trPr>
          <w:cantSplit/>
        </w:trPr>
        <w:tc>
          <w:tcPr>
            <w:tcW w:type="dxa" w:w="2334"/>
          </w:tcPr>
          <w:p>
            <w:pPr>
              <w:spacing w:after="0"/>
              <w:jc w:val="left"/>
            </w:pPr>
            <w:r/>
            <w:r>
              <w:rPr>
                <w:rFonts w:ascii="Calibri" w:hAnsi="Calibri"/>
                <w:b/>
                <w:color w:val="1A1A1A"/>
                <w:sz w:val="24"/>
              </w:rPr>
              <w:t>Fotografia padronizada e escaneamento</w:t>
            </w:r>
          </w:p>
        </w:tc>
        <w:tc>
          <w:tcPr>
            <w:tcW w:type="dxa" w:w="1809"/>
          </w:tcPr>
          <w:p>
            <w:pPr>
              <w:spacing w:after="0"/>
              <w:jc w:val="left"/>
            </w:pPr>
            <w:r/>
            <w:r>
              <w:rPr>
                <w:rFonts w:ascii="Calibri" w:hAnsi="Calibri"/>
                <w:b w:val="0"/>
                <w:color w:val="1A1A1A"/>
                <w:sz w:val="24"/>
              </w:rPr>
              <w:t>Documentação</w:t>
            </w:r>
          </w:p>
        </w:tc>
        <w:tc>
          <w:tcPr>
            <w:tcW w:type="dxa" w:w="2465"/>
          </w:tcPr>
          <w:p>
            <w:pPr>
              <w:spacing w:after="0"/>
              <w:jc w:val="left"/>
            </w:pPr>
            <w:r/>
            <w:r>
              <w:rPr>
                <w:rFonts w:ascii="Calibri" w:hAnsi="Calibri"/>
                <w:b w:val="0"/>
                <w:color w:val="1A1A1A"/>
                <w:sz w:val="24"/>
              </w:rPr>
              <w:t>Risco físico baixo, impacto alto em comparabilidade, valor probatório e proteção de dados.</w:t>
            </w:r>
          </w:p>
        </w:tc>
        <w:tc>
          <w:tcPr>
            <w:tcW w:type="dxa" w:w="2465"/>
          </w:tcPr>
          <w:p>
            <w:pPr>
              <w:spacing w:after="0"/>
              <w:jc w:val="left"/>
            </w:pPr>
            <w:r/>
            <w:r>
              <w:rPr>
                <w:rFonts w:ascii="Calibri" w:hAnsi="Calibri"/>
                <w:b w:val="0"/>
                <w:color w:val="1A1A1A"/>
                <w:sz w:val="24"/>
              </w:rPr>
              <w:t>Padronização institucional recomendada. Onda 3 de POPs.</w:t>
            </w:r>
          </w:p>
        </w:tc>
      </w:tr>
      <w:tr>
        <w:trPr>
          <w:cantSplit/>
        </w:trPr>
        <w:tc>
          <w:tcPr>
            <w:tcW w:type="dxa" w:w="2334"/>
            <w:shd w:val="clear" w:color="auto" w:fill="F2F5F8"/>
          </w:tcPr>
          <w:p>
            <w:pPr>
              <w:spacing w:after="0"/>
              <w:jc w:val="left"/>
            </w:pPr>
            <w:r/>
            <w:r>
              <w:rPr>
                <w:rFonts w:ascii="Calibri" w:hAnsi="Calibri"/>
                <w:b/>
                <w:color w:val="1A1A1A"/>
                <w:sz w:val="24"/>
              </w:rPr>
              <w:t>Biomateriais e injetáveis emergentes</w:t>
            </w:r>
          </w:p>
        </w:tc>
        <w:tc>
          <w:tcPr>
            <w:tcW w:type="dxa" w:w="1809"/>
            <w:shd w:val="clear" w:color="auto" w:fill="F2F5F8"/>
          </w:tcPr>
          <w:p>
            <w:pPr>
              <w:spacing w:after="0"/>
              <w:jc w:val="left"/>
            </w:pPr>
            <w:r/>
            <w:r>
              <w:rPr>
                <w:rFonts w:ascii="Calibri" w:hAnsi="Calibri"/>
                <w:b w:val="0"/>
                <w:color w:val="1A1A1A"/>
                <w:sz w:val="24"/>
              </w:rPr>
              <w:t>Produtos</w:t>
            </w:r>
          </w:p>
        </w:tc>
        <w:tc>
          <w:tcPr>
            <w:tcW w:type="dxa" w:w="2465"/>
            <w:shd w:val="clear" w:color="auto" w:fill="F2F5F8"/>
          </w:tcPr>
          <w:p>
            <w:pPr>
              <w:spacing w:after="0"/>
              <w:jc w:val="left"/>
            </w:pPr>
            <w:r/>
            <w:r>
              <w:rPr>
                <w:rFonts w:ascii="Calibri" w:hAnsi="Calibri"/>
                <w:b w:val="0"/>
                <w:color w:val="1A1A1A"/>
                <w:sz w:val="24"/>
              </w:rPr>
              <w:t>Risco dependente de regularização, indicação, evidência e reversibilidade.</w:t>
            </w:r>
          </w:p>
        </w:tc>
        <w:tc>
          <w:tcPr>
            <w:tcW w:type="dxa" w:w="2465"/>
            <w:shd w:val="clear" w:color="auto" w:fill="F2F5F8"/>
          </w:tcPr>
          <w:p>
            <w:pPr>
              <w:spacing w:after="0"/>
              <w:jc w:val="left"/>
            </w:pPr>
            <w:r/>
            <w:r>
              <w:rPr>
                <w:rFonts w:ascii="Calibri" w:hAnsi="Calibri"/>
                <w:b w:val="0"/>
                <w:color w:val="1A1A1A"/>
                <w:sz w:val="24"/>
              </w:rPr>
              <w:t>Avaliar por produto e uso pretendido, individualmente, na Matriz.</w:t>
            </w:r>
          </w:p>
        </w:tc>
      </w:tr>
    </w:tbl>
    <w:p>
      <w:r>
        <w:br w:type="page"/>
      </w:r>
    </w:p>
    <w:p>
      <w:pPr>
        <w:keepNext/>
        <w:spacing w:before="360" w:after="160"/>
        <w:jc w:val="left"/>
        <w:pBdr>
          <w:bottom w:val="single" w:sz="8" w:space="4" w:color="143C64"/>
        </w:pBdr>
      </w:pPr>
      <w:r>
        <w:rPr>
          <w:rFonts w:ascii="Calibri" w:hAnsi="Calibri"/>
          <w:b/>
          <w:color w:val="143C64"/>
          <w:sz w:val="30"/>
        </w:rPr>
        <w:t>3  Aplicação-piloto da Matriz: ultrassonografia de alta frequência com Doppler</w:t>
      </w:r>
    </w:p>
    <w:p>
      <w:pPr>
        <w:spacing w:after="120"/>
        <w:jc w:val="both"/>
      </w:pPr>
      <w:r>
        <w:rPr>
          <w:rFonts w:ascii="Calibri" w:hAnsi="Calibri"/>
          <w:b w:val="0"/>
          <w:i w:val="0"/>
          <w:color w:val="1A1A1A"/>
          <w:sz w:val="24"/>
        </w:rPr>
        <w:t>A documentação estratégica do Núcleo propôs esta tecnologia como objeto-piloto por atravessar os dois eixos: é recurso diagnóstico e é apoio ao manejo de intercorrências. A proposta somente se converte em decisão mediante deliberação colegiada registrada em ata. A aplicação abaixo é preliminar e serve de demonstração do método.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948"/>
        <w:gridCol w:w="3575"/>
        <w:gridCol w:w="2549"/>
      </w:tblGrid>
      <w:tr>
        <w:trPr>
          <w:cantSplit/>
          <w:tblHeader/>
        </w:trPr>
        <w:tc>
          <w:tcPr>
            <w:tcW w:type="dxa" w:w="2948"/>
            <w:shd w:val="clear" w:color="auto" w:fill="143C64"/>
          </w:tcPr>
          <w:p>
            <w:pPr>
              <w:spacing w:after="0"/>
              <w:jc w:val="left"/>
            </w:pPr>
            <w:r/>
            <w:r>
              <w:rPr>
                <w:rFonts w:ascii="Calibri" w:hAnsi="Calibri"/>
                <w:b/>
                <w:color w:val="FFFFFF"/>
                <w:sz w:val="24"/>
              </w:rPr>
              <w:t>Dimensão</w:t>
            </w:r>
          </w:p>
        </w:tc>
        <w:tc>
          <w:tcPr>
            <w:tcW w:type="dxa" w:w="3575"/>
            <w:shd w:val="clear" w:color="auto" w:fill="143C64"/>
          </w:tcPr>
          <w:p>
            <w:pPr>
              <w:spacing w:after="0"/>
              <w:jc w:val="left"/>
            </w:pPr>
            <w:r/>
            <w:r>
              <w:rPr>
                <w:rFonts w:ascii="Calibri" w:hAnsi="Calibri"/>
                <w:b/>
                <w:color w:val="FFFFFF"/>
                <w:sz w:val="24"/>
              </w:rPr>
              <w:t>Leitura preliminar</w:t>
            </w:r>
          </w:p>
        </w:tc>
        <w:tc>
          <w:tcPr>
            <w:tcW w:type="dxa" w:w="2549"/>
            <w:shd w:val="clear" w:color="auto" w:fill="143C64"/>
          </w:tcPr>
          <w:p>
            <w:pPr>
              <w:spacing w:after="0"/>
              <w:jc w:val="left"/>
            </w:pPr>
            <w:r/>
            <w:r>
              <w:rPr>
                <w:rFonts w:ascii="Calibri" w:hAnsi="Calibri"/>
                <w:b/>
                <w:color w:val="FFFFFF"/>
                <w:sz w:val="24"/>
              </w:rPr>
              <w:t>Classe</w:t>
            </w:r>
          </w:p>
        </w:tc>
      </w:tr>
      <w:tr>
        <w:trPr>
          <w:cantSplit/>
        </w:trPr>
        <w:tc>
          <w:tcPr>
            <w:tcW w:type="dxa" w:w="2948"/>
          </w:tcPr>
          <w:p>
            <w:pPr>
              <w:spacing w:after="0"/>
              <w:jc w:val="left"/>
            </w:pPr>
            <w:r/>
            <w:r>
              <w:rPr>
                <w:rFonts w:ascii="Calibri" w:hAnsi="Calibri"/>
                <w:b/>
                <w:color w:val="1A1A1A"/>
                <w:sz w:val="24"/>
              </w:rPr>
              <w:t>1. Situação regulatória</w:t>
            </w:r>
          </w:p>
        </w:tc>
        <w:tc>
          <w:tcPr>
            <w:tcW w:type="dxa" w:w="3575"/>
          </w:tcPr>
          <w:p>
            <w:pPr>
              <w:spacing w:after="0"/>
              <w:jc w:val="left"/>
            </w:pPr>
            <w:r/>
            <w:r>
              <w:rPr>
                <w:rFonts w:ascii="Calibri" w:hAnsi="Calibri"/>
                <w:b w:val="0"/>
                <w:color w:val="1A1A1A"/>
                <w:sz w:val="24"/>
              </w:rPr>
              <w:t>Depende do equipamento específico. Exige consulta às bases oficiais, com número, situação, finalidade aprovada e data, antes de qualquer recomendação.</w:t>
            </w:r>
          </w:p>
        </w:tc>
        <w:tc>
          <w:tcPr>
            <w:tcW w:type="dxa" w:w="2549"/>
          </w:tcPr>
          <w:p>
            <w:pPr>
              <w:spacing w:after="0"/>
              <w:jc w:val="left"/>
            </w:pPr>
            <w:r/>
            <w:r>
              <w:rPr>
                <w:rFonts w:ascii="Calibri" w:hAnsi="Calibri"/>
                <w:b w:val="0"/>
                <w:color w:val="1A1A1A"/>
                <w:sz w:val="24"/>
              </w:rPr>
              <w:t>D até verificação por equipamento.</w:t>
            </w:r>
          </w:p>
        </w:tc>
      </w:tr>
      <w:tr>
        <w:trPr>
          <w:cantSplit/>
        </w:trPr>
        <w:tc>
          <w:tcPr>
            <w:tcW w:type="dxa" w:w="2948"/>
            <w:shd w:val="clear" w:color="auto" w:fill="F2F5F8"/>
          </w:tcPr>
          <w:p>
            <w:pPr>
              <w:spacing w:after="0"/>
              <w:jc w:val="left"/>
            </w:pPr>
            <w:r/>
            <w:r>
              <w:rPr>
                <w:rFonts w:ascii="Calibri" w:hAnsi="Calibri"/>
                <w:b/>
                <w:color w:val="1A1A1A"/>
                <w:sz w:val="24"/>
              </w:rPr>
              <w:t>2. Nível de evidência</w:t>
            </w:r>
          </w:p>
        </w:tc>
        <w:tc>
          <w:tcPr>
            <w:tcW w:type="dxa" w:w="3575"/>
            <w:shd w:val="clear" w:color="auto" w:fill="F2F5F8"/>
          </w:tcPr>
          <w:p>
            <w:pPr>
              <w:spacing w:after="0"/>
              <w:jc w:val="left"/>
            </w:pPr>
            <w:r/>
            <w:r>
              <w:rPr>
                <w:rFonts w:ascii="Calibri" w:hAnsi="Calibri"/>
                <w:b w:val="0"/>
                <w:color w:val="1A1A1A"/>
                <w:sz w:val="24"/>
              </w:rPr>
              <w:t>Aplicações específicas apresentam sustentação superior a usos genéricos. Revisão sistemática sobre oclusão vascular relata que a orientação por ultrassonografia reduziu de forma expressiva a dose de hialuronidase necessária no manejo descrito. Evitar generalização para toda e qualquer aplicação.</w:t>
            </w:r>
          </w:p>
        </w:tc>
        <w:tc>
          <w:tcPr>
            <w:tcW w:type="dxa" w:w="2549"/>
            <w:shd w:val="clear" w:color="auto" w:fill="F2F5F8"/>
          </w:tcPr>
          <w:p>
            <w:pPr>
              <w:spacing w:after="0"/>
              <w:jc w:val="left"/>
            </w:pPr>
            <w:r/>
            <w:r>
              <w:rPr>
                <w:rFonts w:ascii="Calibri" w:hAnsi="Calibri"/>
                <w:b w:val="0"/>
                <w:color w:val="1A1A1A"/>
                <w:sz w:val="24"/>
              </w:rPr>
              <w:t>B, condicionada à delimitação da aplicação.</w:t>
            </w:r>
          </w:p>
        </w:tc>
      </w:tr>
      <w:tr>
        <w:trPr>
          <w:cantSplit/>
        </w:trPr>
        <w:tc>
          <w:tcPr>
            <w:tcW w:type="dxa" w:w="2948"/>
          </w:tcPr>
          <w:p>
            <w:pPr>
              <w:spacing w:after="0"/>
              <w:jc w:val="left"/>
            </w:pPr>
            <w:r/>
            <w:r>
              <w:rPr>
                <w:rFonts w:ascii="Calibri" w:hAnsi="Calibri"/>
                <w:b/>
                <w:color w:val="1A1A1A"/>
                <w:sz w:val="24"/>
              </w:rPr>
              <w:t>3. Perfil de segurança</w:t>
            </w:r>
          </w:p>
        </w:tc>
        <w:tc>
          <w:tcPr>
            <w:tcW w:type="dxa" w:w="3575"/>
          </w:tcPr>
          <w:p>
            <w:pPr>
              <w:spacing w:after="0"/>
              <w:jc w:val="left"/>
            </w:pPr>
            <w:r/>
            <w:r>
              <w:rPr>
                <w:rFonts w:ascii="Calibri" w:hAnsi="Calibri"/>
                <w:b w:val="0"/>
                <w:color w:val="1A1A1A"/>
                <w:sz w:val="24"/>
              </w:rPr>
              <w:t>Risco físico direto baixo. O risco relevante é de interpretação inadequada e de atraso indevido de conduta de urgência.</w:t>
            </w:r>
          </w:p>
        </w:tc>
        <w:tc>
          <w:tcPr>
            <w:tcW w:type="dxa" w:w="2549"/>
          </w:tcPr>
          <w:p>
            <w:pPr>
              <w:spacing w:after="0"/>
              <w:jc w:val="left"/>
            </w:pPr>
            <w:r/>
            <w:r>
              <w:rPr>
                <w:rFonts w:ascii="Calibri" w:hAnsi="Calibri"/>
                <w:b w:val="0"/>
                <w:color w:val="1A1A1A"/>
                <w:sz w:val="24"/>
              </w:rPr>
              <w:t>B, condicionada ao princípio de não atraso.</w:t>
            </w:r>
          </w:p>
        </w:tc>
      </w:tr>
      <w:tr>
        <w:trPr>
          <w:cantSplit/>
        </w:trPr>
        <w:tc>
          <w:tcPr>
            <w:tcW w:type="dxa" w:w="2948"/>
            <w:shd w:val="clear" w:color="auto" w:fill="F2F5F8"/>
          </w:tcPr>
          <w:p>
            <w:pPr>
              <w:spacing w:after="0"/>
              <w:jc w:val="left"/>
            </w:pPr>
            <w:r/>
            <w:r>
              <w:rPr>
                <w:rFonts w:ascii="Calibri" w:hAnsi="Calibri"/>
                <w:b/>
                <w:color w:val="1A1A1A"/>
                <w:sz w:val="24"/>
              </w:rPr>
              <w:t>4. Reprodutibilidade</w:t>
            </w:r>
          </w:p>
        </w:tc>
        <w:tc>
          <w:tcPr>
            <w:tcW w:type="dxa" w:w="3575"/>
            <w:shd w:val="clear" w:color="auto" w:fill="F2F5F8"/>
          </w:tcPr>
          <w:p>
            <w:pPr>
              <w:spacing w:after="0"/>
              <w:jc w:val="left"/>
            </w:pPr>
            <w:r/>
            <w:r>
              <w:rPr>
                <w:rFonts w:ascii="Calibri" w:hAnsi="Calibri"/>
                <w:b w:val="0"/>
                <w:color w:val="1A1A1A"/>
                <w:sz w:val="24"/>
              </w:rPr>
              <w:t>Altamente dependente de treinamento, de protocolo de aquisição e de interpretação.</w:t>
            </w:r>
          </w:p>
        </w:tc>
        <w:tc>
          <w:tcPr>
            <w:tcW w:type="dxa" w:w="2549"/>
            <w:shd w:val="clear" w:color="auto" w:fill="F2F5F8"/>
          </w:tcPr>
          <w:p>
            <w:pPr>
              <w:spacing w:after="0"/>
              <w:jc w:val="left"/>
            </w:pPr>
            <w:r/>
            <w:r>
              <w:rPr>
                <w:rFonts w:ascii="Calibri" w:hAnsi="Calibri"/>
                <w:b w:val="0"/>
                <w:color w:val="1A1A1A"/>
                <w:sz w:val="24"/>
              </w:rPr>
              <w:t>B, condicionada a capacitação comprovada.</w:t>
            </w:r>
          </w:p>
        </w:tc>
      </w:tr>
      <w:tr>
        <w:trPr>
          <w:cantSplit/>
        </w:trPr>
        <w:tc>
          <w:tcPr>
            <w:tcW w:type="dxa" w:w="2948"/>
          </w:tcPr>
          <w:p>
            <w:pPr>
              <w:spacing w:after="0"/>
              <w:jc w:val="left"/>
            </w:pPr>
            <w:r/>
            <w:r>
              <w:rPr>
                <w:rFonts w:ascii="Calibri" w:hAnsi="Calibri"/>
                <w:b/>
                <w:color w:val="1A1A1A"/>
                <w:sz w:val="24"/>
              </w:rPr>
              <w:t>5. Reversibilidade</w:t>
            </w:r>
          </w:p>
        </w:tc>
        <w:tc>
          <w:tcPr>
            <w:tcW w:type="dxa" w:w="3575"/>
          </w:tcPr>
          <w:p>
            <w:pPr>
              <w:spacing w:after="0"/>
              <w:jc w:val="left"/>
            </w:pPr>
            <w:r/>
            <w:r>
              <w:rPr>
                <w:rFonts w:ascii="Calibri" w:hAnsi="Calibri"/>
                <w:b w:val="0"/>
                <w:color w:val="1A1A1A"/>
                <w:sz w:val="24"/>
              </w:rPr>
              <w:t>Não aplicável como atributo central. O valor está no apoio diagnóstico e terapêutico, não em efeito tecidual.</w:t>
            </w:r>
          </w:p>
        </w:tc>
        <w:tc>
          <w:tcPr>
            <w:tcW w:type="dxa" w:w="2549"/>
          </w:tcPr>
          <w:p>
            <w:pPr>
              <w:spacing w:after="0"/>
              <w:jc w:val="left"/>
            </w:pPr>
            <w:r/>
            <w:r>
              <w:rPr>
                <w:rFonts w:ascii="Calibri" w:hAnsi="Calibri"/>
                <w:b w:val="0"/>
                <w:color w:val="1A1A1A"/>
                <w:sz w:val="24"/>
              </w:rPr>
              <w:t>A, por não incidência.</w:t>
            </w:r>
          </w:p>
        </w:tc>
      </w:tr>
      <w:tr>
        <w:trPr>
          <w:cantSplit/>
        </w:trPr>
        <w:tc>
          <w:tcPr>
            <w:tcW w:type="dxa" w:w="2948"/>
            <w:shd w:val="clear" w:color="auto" w:fill="F2F5F8"/>
          </w:tcPr>
          <w:p>
            <w:pPr>
              <w:spacing w:after="0"/>
              <w:jc w:val="left"/>
            </w:pPr>
            <w:r/>
            <w:r>
              <w:rPr>
                <w:rFonts w:ascii="Calibri" w:hAnsi="Calibri"/>
                <w:b/>
                <w:color w:val="1A1A1A"/>
                <w:sz w:val="24"/>
              </w:rPr>
              <w:t>6. Escopo profissional</w:t>
            </w:r>
          </w:p>
        </w:tc>
        <w:tc>
          <w:tcPr>
            <w:tcW w:type="dxa" w:w="3575"/>
            <w:shd w:val="clear" w:color="auto" w:fill="F2F5F8"/>
          </w:tcPr>
          <w:p>
            <w:pPr>
              <w:spacing w:after="0"/>
              <w:jc w:val="left"/>
            </w:pPr>
            <w:r/>
            <w:r>
              <w:rPr>
                <w:rFonts w:ascii="Calibri" w:hAnsi="Calibri"/>
                <w:b w:val="0"/>
                <w:color w:val="1A1A1A"/>
                <w:sz w:val="24"/>
              </w:rPr>
              <w:t>Exige avaliação institucional de competência, tema afetado pela situação contenciosa registrada neste pacote.</w:t>
            </w:r>
          </w:p>
        </w:tc>
        <w:tc>
          <w:tcPr>
            <w:tcW w:type="dxa" w:w="2549"/>
            <w:shd w:val="clear" w:color="auto" w:fill="F2F5F8"/>
          </w:tcPr>
          <w:p>
            <w:pPr>
              <w:spacing w:after="0"/>
              <w:jc w:val="left"/>
            </w:pPr>
            <w:r/>
            <w:r>
              <w:rPr>
                <w:rFonts w:ascii="Calibri" w:hAnsi="Calibri"/>
                <w:b w:val="0"/>
                <w:color w:val="1A1A1A"/>
                <w:sz w:val="24"/>
              </w:rPr>
              <w:t>D até manifestação institucional.</w:t>
            </w:r>
          </w:p>
        </w:tc>
      </w:tr>
      <w:tr>
        <w:trPr>
          <w:cantSplit/>
        </w:trPr>
        <w:tc>
          <w:tcPr>
            <w:tcW w:type="dxa" w:w="2948"/>
          </w:tcPr>
          <w:p>
            <w:pPr>
              <w:spacing w:after="0"/>
              <w:jc w:val="left"/>
            </w:pPr>
            <w:r/>
            <w:r>
              <w:rPr>
                <w:rFonts w:ascii="Calibri" w:hAnsi="Calibri"/>
                <w:b/>
                <w:color w:val="1A1A1A"/>
                <w:sz w:val="24"/>
              </w:rPr>
              <w:t>7. Capacitação e infraestrutura</w:t>
            </w:r>
          </w:p>
        </w:tc>
        <w:tc>
          <w:tcPr>
            <w:tcW w:type="dxa" w:w="3575"/>
          </w:tcPr>
          <w:p>
            <w:pPr>
              <w:spacing w:after="0"/>
              <w:jc w:val="left"/>
            </w:pPr>
            <w:r/>
            <w:r>
              <w:rPr>
                <w:rFonts w:ascii="Calibri" w:hAnsi="Calibri"/>
                <w:b w:val="0"/>
                <w:color w:val="1A1A1A"/>
                <w:sz w:val="24"/>
              </w:rPr>
              <w:t>Depende de treinamento formal, de tempo de operação e de rotina de verificação de desempenho do equipamento.</w:t>
            </w:r>
          </w:p>
        </w:tc>
        <w:tc>
          <w:tcPr>
            <w:tcW w:type="dxa" w:w="2549"/>
          </w:tcPr>
          <w:p>
            <w:pPr>
              <w:spacing w:after="0"/>
              <w:jc w:val="left"/>
            </w:pPr>
            <w:r/>
            <w:r>
              <w:rPr>
                <w:rFonts w:ascii="Calibri" w:hAnsi="Calibri"/>
                <w:b w:val="0"/>
                <w:color w:val="1A1A1A"/>
                <w:sz w:val="24"/>
              </w:rPr>
              <w:t>B, condicionada a plano de capacitação.</w:t>
            </w:r>
          </w:p>
        </w:tc>
      </w:tr>
      <w:tr>
        <w:trPr>
          <w:cantSplit/>
        </w:trPr>
        <w:tc>
          <w:tcPr>
            <w:tcW w:type="dxa" w:w="2948"/>
            <w:shd w:val="clear" w:color="auto" w:fill="F2F5F8"/>
          </w:tcPr>
          <w:p>
            <w:pPr>
              <w:spacing w:after="0"/>
              <w:jc w:val="left"/>
            </w:pPr>
            <w:r/>
            <w:r>
              <w:rPr>
                <w:rFonts w:ascii="Calibri" w:hAnsi="Calibri"/>
                <w:b/>
                <w:color w:val="1A1A1A"/>
                <w:sz w:val="24"/>
              </w:rPr>
              <w:t>8. Governança de dados</w:t>
            </w:r>
          </w:p>
        </w:tc>
        <w:tc>
          <w:tcPr>
            <w:tcW w:type="dxa" w:w="3575"/>
            <w:shd w:val="clear" w:color="auto" w:fill="F2F5F8"/>
          </w:tcPr>
          <w:p>
            <w:pPr>
              <w:spacing w:after="0"/>
              <w:jc w:val="left"/>
            </w:pPr>
            <w:r/>
            <w:r>
              <w:rPr>
                <w:rFonts w:ascii="Calibri" w:hAnsi="Calibri"/>
                <w:b w:val="0"/>
                <w:color w:val="1A1A1A"/>
                <w:sz w:val="24"/>
              </w:rPr>
              <w:t>Gera imagem clínica, com necessidade de finalidade declarada, base legal, retenção e controle de acesso.</w:t>
            </w:r>
          </w:p>
        </w:tc>
        <w:tc>
          <w:tcPr>
            <w:tcW w:type="dxa" w:w="2549"/>
            <w:shd w:val="clear" w:color="auto" w:fill="F2F5F8"/>
          </w:tcPr>
          <w:p>
            <w:pPr>
              <w:spacing w:after="0"/>
              <w:jc w:val="left"/>
            </w:pPr>
            <w:r/>
            <w:r>
              <w:rPr>
                <w:rFonts w:ascii="Calibri" w:hAnsi="Calibri"/>
                <w:b w:val="0"/>
                <w:color w:val="1A1A1A"/>
                <w:sz w:val="24"/>
              </w:rPr>
              <w:t>B, condicionada a política de dados.</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Conclusão preliminar, aplicando a regra da Matriz</w:t>
            </w:r>
          </w:p>
          <w:p>
            <w:pPr>
              <w:spacing w:after="0"/>
              <w:jc w:val="both"/>
            </w:pPr>
            <w:r>
              <w:rPr>
                <w:rFonts w:ascii="Calibri" w:hAnsi="Calibri"/>
                <w:color w:val="1A1A1A"/>
                <w:sz w:val="24"/>
              </w:rPr>
              <w:t>Há duas dimensões classificadas como D, situação regulatória por equipamento e escopo profissional. Pela regra de conclusão, o resultado não é adoção condicionada, e sim pendência de informação. A leitura institucional correta é: tecnologia de elevado valor agregado, candidata forte a adoção condicionada e protocolizada, cuja recomendação formal depende de duas verificações objetivas ainda não realizadas. Não se trata de tecnologia recusada, e tampouco de tecnologia aprovada. Registrar como pendente é mais defensável do que antecipar conclusão favorável.</w:t>
            </w:r>
          </w:p>
        </w:tc>
      </w:tr>
    </w:tbl>
    <w:p>
      <w:pPr>
        <w:spacing w:after="80"/>
      </w:pPr>
    </w:p>
    <w:p>
      <w:pPr>
        <w:keepNext/>
        <w:spacing w:before="360" w:after="160"/>
        <w:jc w:val="left"/>
        <w:pBdr>
          <w:bottom w:val="single" w:sz="8" w:space="4" w:color="143C64"/>
        </w:pBdr>
      </w:pPr>
      <w:r>
        <w:rPr>
          <w:rFonts w:ascii="Calibri" w:hAnsi="Calibri"/>
          <w:b/>
          <w:color w:val="143C64"/>
          <w:sz w:val="30"/>
        </w:rPr>
        <w:t>4  Inteligência artificial: critérios e salvaguardas</w:t>
      </w:r>
    </w:p>
    <w:p>
      <w:pPr>
        <w:spacing w:after="120"/>
        <w:jc w:val="both"/>
      </w:pPr>
      <w:r>
        <w:rPr>
          <w:rFonts w:ascii="Calibri" w:hAnsi="Calibri"/>
          <w:b w:val="0"/>
          <w:i w:val="0"/>
          <w:color w:val="1A1A1A"/>
          <w:sz w:val="24"/>
        </w:rPr>
        <w:t>EVIDÊNCIA CIENTÍFICA. Revisão sistemática conduzida segundo PRISMA 2020 e registrada em PROSPERO, publicada em Aesthetic Surgery Journal Open Forum, examinou o impacto da inteligência artificial na cirurgia estética facial. De 1.832 registros identificados, 29 estudos preencheram os critérios de inclusão. A maioria concentra-se em validação, desenvolvimento e aplicabilidade de ferramentas, com poucos estudos intervencionistas. Predominam redes neurais convolucionais e modelos comercialmente disponíveis. Os autores destacam a necessidade de padronização de relato, atualização regulatória e programas educacionais. Limitação: escopo em cirurgia estética facial, com impacto clínico direto ainda limitado, e heterogeneidade entre os estudos incluídos.</w:t>
      </w:r>
    </w:p>
    <w:p>
      <w:pPr>
        <w:pStyle w:val="ListBullet"/>
        <w:spacing w:after="60"/>
        <w:ind w:left="397"/>
        <w:jc w:val="both"/>
      </w:pPr>
      <w:r>
        <w:rPr>
          <w:rFonts w:ascii="Calibri" w:hAnsi="Calibri"/>
          <w:color w:val="1A1A1A"/>
          <w:sz w:val="24"/>
        </w:rPr>
        <w:t>Usar como apoio à decisão, nunca como substituição do julgamento clínico.</w:t>
      </w:r>
    </w:p>
    <w:p>
      <w:pPr>
        <w:pStyle w:val="ListBullet"/>
        <w:spacing w:after="60"/>
        <w:ind w:left="397"/>
        <w:jc w:val="both"/>
      </w:pPr>
      <w:r>
        <w:rPr>
          <w:rFonts w:ascii="Calibri" w:hAnsi="Calibri"/>
          <w:color w:val="1A1A1A"/>
          <w:sz w:val="24"/>
        </w:rPr>
        <w:t>Validar finalidade declarada, população-alvo, desempenho relatado e limites conhecidos da ferramenta.</w:t>
      </w:r>
    </w:p>
    <w:p>
      <w:pPr>
        <w:pStyle w:val="ListBullet"/>
        <w:spacing w:after="60"/>
        <w:ind w:left="397"/>
        <w:jc w:val="both"/>
      </w:pPr>
      <w:r>
        <w:rPr>
          <w:rFonts w:ascii="Calibri" w:hAnsi="Calibri"/>
          <w:color w:val="1A1A1A"/>
          <w:sz w:val="24"/>
        </w:rPr>
        <w:t>Informar o paciente quando a ferramenta influenciar a conduta.</w:t>
      </w:r>
    </w:p>
    <w:p>
      <w:pPr>
        <w:pStyle w:val="ListBullet"/>
        <w:spacing w:after="60"/>
        <w:ind w:left="397"/>
        <w:jc w:val="both"/>
      </w:pPr>
      <w:r>
        <w:rPr>
          <w:rFonts w:ascii="Calibri" w:hAnsi="Calibri"/>
          <w:color w:val="1A1A1A"/>
          <w:sz w:val="24"/>
        </w:rPr>
        <w:t>Aplicar governança de dados e base legal ao tratamento de imagem e de dados de saúde.</w:t>
      </w:r>
    </w:p>
    <w:p>
      <w:pPr>
        <w:pStyle w:val="ListBullet"/>
        <w:spacing w:after="60"/>
        <w:ind w:left="397"/>
        <w:jc w:val="both"/>
      </w:pPr>
      <w:r>
        <w:rPr>
          <w:rFonts w:ascii="Calibri" w:hAnsi="Calibri"/>
          <w:color w:val="1A1A1A"/>
          <w:sz w:val="24"/>
        </w:rPr>
        <w:t>Tratar simulações de resultado como aproximações, e não como promessa de resultado, sob pena de configurar publicidade enganosa.</w:t>
      </w:r>
    </w:p>
    <w:p>
      <w:pPr>
        <w:pStyle w:val="ListBullet"/>
        <w:spacing w:after="60"/>
        <w:ind w:left="397"/>
        <w:jc w:val="both"/>
      </w:pPr>
      <w:r>
        <w:rPr>
          <w:rFonts w:ascii="Calibri" w:hAnsi="Calibri"/>
          <w:color w:val="1A1A1A"/>
          <w:sz w:val="24"/>
        </w:rPr>
        <w:t>Reavaliar periodicamente fornecedor, versão e desempenho, registrando a data.</w:t>
      </w:r>
    </w:p>
    <w:p>
      <w:pPr>
        <w:keepNext/>
        <w:spacing w:before="360" w:after="160"/>
        <w:jc w:val="left"/>
        <w:pBdr>
          <w:bottom w:val="single" w:sz="8" w:space="4" w:color="143C64"/>
        </w:pBdr>
      </w:pPr>
      <w:r>
        <w:rPr>
          <w:rFonts w:ascii="Calibri" w:hAnsi="Calibri"/>
          <w:b/>
          <w:color w:val="143C64"/>
          <w:sz w:val="30"/>
        </w:rPr>
        <w:t>5  Agenda de monitoramento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867"/>
        <w:gridCol w:w="2629"/>
        <w:gridCol w:w="3576"/>
      </w:tblGrid>
      <w:tr>
        <w:trPr>
          <w:cantSplit/>
          <w:tblHeader/>
        </w:trPr>
        <w:tc>
          <w:tcPr>
            <w:tcW w:type="dxa" w:w="2867"/>
            <w:shd w:val="clear" w:color="auto" w:fill="143C64"/>
          </w:tcPr>
          <w:p>
            <w:pPr>
              <w:spacing w:after="0"/>
              <w:jc w:val="left"/>
            </w:pPr>
            <w:r/>
            <w:r>
              <w:rPr>
                <w:rFonts w:ascii="Calibri" w:hAnsi="Calibri"/>
                <w:b/>
                <w:color w:val="FFFFFF"/>
                <w:sz w:val="24"/>
              </w:rPr>
              <w:t>Tema</w:t>
            </w:r>
          </w:p>
        </w:tc>
        <w:tc>
          <w:tcPr>
            <w:tcW w:type="dxa" w:w="2629"/>
            <w:shd w:val="clear" w:color="auto" w:fill="143C64"/>
          </w:tcPr>
          <w:p>
            <w:pPr>
              <w:spacing w:after="0"/>
              <w:jc w:val="left"/>
            </w:pPr>
            <w:r/>
            <w:r>
              <w:rPr>
                <w:rFonts w:ascii="Calibri" w:hAnsi="Calibri"/>
                <w:b/>
                <w:color w:val="FFFFFF"/>
                <w:sz w:val="24"/>
              </w:rPr>
              <w:t>Periodicidade</w:t>
            </w:r>
          </w:p>
        </w:tc>
        <w:tc>
          <w:tcPr>
            <w:tcW w:type="dxa" w:w="3576"/>
            <w:shd w:val="clear" w:color="auto" w:fill="143C64"/>
          </w:tcPr>
          <w:p>
            <w:pPr>
              <w:spacing w:after="0"/>
              <w:jc w:val="left"/>
            </w:pPr>
            <w:r/>
            <w:r>
              <w:rPr>
                <w:rFonts w:ascii="Calibri" w:hAnsi="Calibri"/>
                <w:b/>
                <w:color w:val="FFFFFF"/>
                <w:sz w:val="24"/>
              </w:rPr>
              <w:t>Gatilho de reavaliação antecipada</w:t>
            </w:r>
          </w:p>
        </w:tc>
      </w:tr>
      <w:tr>
        <w:trPr>
          <w:cantSplit/>
        </w:trPr>
        <w:tc>
          <w:tcPr>
            <w:tcW w:type="dxa" w:w="2867"/>
          </w:tcPr>
          <w:p>
            <w:pPr>
              <w:spacing w:after="0"/>
              <w:jc w:val="left"/>
            </w:pPr>
            <w:r/>
            <w:r>
              <w:rPr>
                <w:rFonts w:ascii="Calibri" w:hAnsi="Calibri"/>
                <w:b w:val="0"/>
                <w:color w:val="1A1A1A"/>
                <w:sz w:val="24"/>
              </w:rPr>
              <w:t>Regulação sanitária e conformidade</w:t>
            </w:r>
          </w:p>
        </w:tc>
        <w:tc>
          <w:tcPr>
            <w:tcW w:type="dxa" w:w="2629"/>
          </w:tcPr>
          <w:p>
            <w:pPr>
              <w:spacing w:after="0"/>
              <w:jc w:val="left"/>
            </w:pPr>
            <w:r/>
            <w:r>
              <w:rPr>
                <w:rFonts w:ascii="Calibri" w:hAnsi="Calibri"/>
                <w:b w:val="0"/>
                <w:color w:val="1A1A1A"/>
                <w:sz w:val="24"/>
              </w:rPr>
              <w:t>Trimestral</w:t>
            </w:r>
          </w:p>
        </w:tc>
        <w:tc>
          <w:tcPr>
            <w:tcW w:type="dxa" w:w="3576"/>
          </w:tcPr>
          <w:p>
            <w:pPr>
              <w:spacing w:after="0"/>
              <w:jc w:val="left"/>
            </w:pPr>
            <w:r/>
            <w:r>
              <w:rPr>
                <w:rFonts w:ascii="Calibri" w:hAnsi="Calibri"/>
                <w:b w:val="0"/>
                <w:color w:val="1A1A1A"/>
                <w:sz w:val="24"/>
              </w:rPr>
              <w:t>Nova resolução, alerta, recolhimento ou mudança de classificação de risco.</w:t>
            </w:r>
          </w:p>
        </w:tc>
      </w:tr>
      <w:tr>
        <w:trPr>
          <w:cantSplit/>
        </w:trPr>
        <w:tc>
          <w:tcPr>
            <w:tcW w:type="dxa" w:w="2867"/>
            <w:shd w:val="clear" w:color="auto" w:fill="F2F5F8"/>
          </w:tcPr>
          <w:p>
            <w:pPr>
              <w:spacing w:after="0"/>
              <w:jc w:val="left"/>
            </w:pPr>
            <w:r/>
            <w:r>
              <w:rPr>
                <w:rFonts w:ascii="Calibri" w:hAnsi="Calibri"/>
                <w:b w:val="0"/>
                <w:color w:val="1A1A1A"/>
                <w:sz w:val="24"/>
              </w:rPr>
              <w:t>Literatura científica</w:t>
            </w:r>
          </w:p>
        </w:tc>
        <w:tc>
          <w:tcPr>
            <w:tcW w:type="dxa" w:w="2629"/>
            <w:shd w:val="clear" w:color="auto" w:fill="F2F5F8"/>
          </w:tcPr>
          <w:p>
            <w:pPr>
              <w:spacing w:after="0"/>
              <w:jc w:val="left"/>
            </w:pPr>
            <w:r/>
            <w:r>
              <w:rPr>
                <w:rFonts w:ascii="Calibri" w:hAnsi="Calibri"/>
                <w:b w:val="0"/>
                <w:color w:val="1A1A1A"/>
                <w:sz w:val="24"/>
              </w:rPr>
              <w:t>Semestral</w:t>
            </w:r>
          </w:p>
        </w:tc>
        <w:tc>
          <w:tcPr>
            <w:tcW w:type="dxa" w:w="3576"/>
            <w:shd w:val="clear" w:color="auto" w:fill="F2F5F8"/>
          </w:tcPr>
          <w:p>
            <w:pPr>
              <w:spacing w:after="0"/>
              <w:jc w:val="left"/>
            </w:pPr>
            <w:r/>
            <w:r>
              <w:rPr>
                <w:rFonts w:ascii="Calibri" w:hAnsi="Calibri"/>
                <w:b w:val="0"/>
                <w:color w:val="1A1A1A"/>
                <w:sz w:val="24"/>
              </w:rPr>
              <w:t>Revisão sistemática, estudo comparativo relevante ou nova diretriz.</w:t>
            </w:r>
          </w:p>
        </w:tc>
      </w:tr>
      <w:tr>
        <w:trPr>
          <w:cantSplit/>
        </w:trPr>
        <w:tc>
          <w:tcPr>
            <w:tcW w:type="dxa" w:w="2867"/>
          </w:tcPr>
          <w:p>
            <w:pPr>
              <w:spacing w:after="0"/>
              <w:jc w:val="left"/>
            </w:pPr>
            <w:r/>
            <w:r>
              <w:rPr>
                <w:rFonts w:ascii="Calibri" w:hAnsi="Calibri"/>
                <w:b w:val="0"/>
                <w:color w:val="1A1A1A"/>
                <w:sz w:val="24"/>
              </w:rPr>
              <w:t>Inteligência artificial e software</w:t>
            </w:r>
          </w:p>
        </w:tc>
        <w:tc>
          <w:tcPr>
            <w:tcW w:type="dxa" w:w="2629"/>
          </w:tcPr>
          <w:p>
            <w:pPr>
              <w:spacing w:after="0"/>
              <w:jc w:val="left"/>
            </w:pPr>
            <w:r/>
            <w:r>
              <w:rPr>
                <w:rFonts w:ascii="Calibri" w:hAnsi="Calibri"/>
                <w:b w:val="0"/>
                <w:color w:val="1A1A1A"/>
                <w:sz w:val="24"/>
              </w:rPr>
              <w:t>Trimestral</w:t>
            </w:r>
          </w:p>
        </w:tc>
        <w:tc>
          <w:tcPr>
            <w:tcW w:type="dxa" w:w="3576"/>
          </w:tcPr>
          <w:p>
            <w:pPr>
              <w:spacing w:after="0"/>
              <w:jc w:val="left"/>
            </w:pPr>
            <w:r/>
            <w:r>
              <w:rPr>
                <w:rFonts w:ascii="Calibri" w:hAnsi="Calibri"/>
                <w:b w:val="0"/>
                <w:color w:val="1A1A1A"/>
                <w:sz w:val="24"/>
              </w:rPr>
              <w:t>Mudança de versão, alteração de política de dados ou nova evidência de desempenho.</w:t>
            </w:r>
          </w:p>
        </w:tc>
      </w:tr>
      <w:tr>
        <w:trPr>
          <w:cantSplit/>
        </w:trPr>
        <w:tc>
          <w:tcPr>
            <w:tcW w:type="dxa" w:w="2867"/>
            <w:shd w:val="clear" w:color="auto" w:fill="F2F5F8"/>
          </w:tcPr>
          <w:p>
            <w:pPr>
              <w:spacing w:after="0"/>
              <w:jc w:val="left"/>
            </w:pPr>
            <w:r/>
            <w:r>
              <w:rPr>
                <w:rFonts w:ascii="Calibri" w:hAnsi="Calibri"/>
                <w:b w:val="0"/>
                <w:color w:val="1A1A1A"/>
                <w:sz w:val="24"/>
              </w:rPr>
              <w:t>Eventos adversos e queixas técnicas</w:t>
            </w:r>
          </w:p>
        </w:tc>
        <w:tc>
          <w:tcPr>
            <w:tcW w:type="dxa" w:w="2629"/>
            <w:shd w:val="clear" w:color="auto" w:fill="F2F5F8"/>
          </w:tcPr>
          <w:p>
            <w:pPr>
              <w:spacing w:after="0"/>
              <w:jc w:val="left"/>
            </w:pPr>
            <w:r/>
            <w:r>
              <w:rPr>
                <w:rFonts w:ascii="Calibri" w:hAnsi="Calibri"/>
                <w:b w:val="0"/>
                <w:color w:val="1A1A1A"/>
                <w:sz w:val="24"/>
              </w:rPr>
              <w:t>Contínua</w:t>
            </w:r>
          </w:p>
        </w:tc>
        <w:tc>
          <w:tcPr>
            <w:tcW w:type="dxa" w:w="3576"/>
            <w:shd w:val="clear" w:color="auto" w:fill="F2F5F8"/>
          </w:tcPr>
          <w:p>
            <w:pPr>
              <w:spacing w:after="0"/>
              <w:jc w:val="left"/>
            </w:pPr>
            <w:r/>
            <w:r>
              <w:rPr>
                <w:rFonts w:ascii="Calibri" w:hAnsi="Calibri"/>
                <w:b w:val="0"/>
                <w:color w:val="1A1A1A"/>
                <w:sz w:val="24"/>
              </w:rPr>
              <w:t>Sinal de risco novo ou aumento consistente de notificações.</w:t>
            </w:r>
          </w:p>
        </w:tc>
      </w:tr>
      <w:tr>
        <w:trPr>
          <w:cantSplit/>
        </w:trPr>
        <w:tc>
          <w:tcPr>
            <w:tcW w:type="dxa" w:w="2867"/>
          </w:tcPr>
          <w:p>
            <w:pPr>
              <w:spacing w:after="0"/>
              <w:jc w:val="left"/>
            </w:pPr>
            <w:r/>
            <w:r>
              <w:rPr>
                <w:rFonts w:ascii="Calibri" w:hAnsi="Calibri"/>
                <w:b w:val="0"/>
                <w:color w:val="1A1A1A"/>
                <w:sz w:val="24"/>
              </w:rPr>
              <w:t>Situação contenciosa do exercício profissional</w:t>
            </w:r>
          </w:p>
        </w:tc>
        <w:tc>
          <w:tcPr>
            <w:tcW w:type="dxa" w:w="2629"/>
          </w:tcPr>
          <w:p>
            <w:pPr>
              <w:spacing w:after="0"/>
              <w:jc w:val="left"/>
            </w:pPr>
            <w:r/>
            <w:r>
              <w:rPr>
                <w:rFonts w:ascii="Calibri" w:hAnsi="Calibri"/>
                <w:b w:val="0"/>
                <w:color w:val="1A1A1A"/>
                <w:sz w:val="24"/>
              </w:rPr>
              <w:t>Contínua</w:t>
            </w:r>
          </w:p>
        </w:tc>
        <w:tc>
          <w:tcPr>
            <w:tcW w:type="dxa" w:w="3576"/>
          </w:tcPr>
          <w:p>
            <w:pPr>
              <w:spacing w:after="0"/>
              <w:jc w:val="left"/>
            </w:pPr>
            <w:r/>
            <w:r>
              <w:rPr>
                <w:rFonts w:ascii="Calibri" w:hAnsi="Calibri"/>
                <w:b w:val="0"/>
                <w:color w:val="1A1A1A"/>
                <w:sz w:val="24"/>
              </w:rPr>
              <w:t>Publicação de acórdão, decisão em recurso ou novo ato do CFO.</w:t>
            </w:r>
          </w:p>
        </w:tc>
      </w:tr>
    </w:tbl>
    <w:p>
      <w:pPr>
        <w:keepNext/>
        <w:spacing w:before="360" w:after="160"/>
        <w:jc w:val="left"/>
        <w:pBdr>
          <w:bottom w:val="single" w:sz="8" w:space="4" w:color="143C64"/>
        </w:pBdr>
      </w:pPr>
      <w:r>
        <w:rPr>
          <w:rFonts w:ascii="Calibri" w:hAnsi="Calibri"/>
          <w:b/>
          <w:color w:val="143C64"/>
          <w:sz w:val="30"/>
        </w:rPr>
        <w:t>6  Lacunas declaradas</w:t>
      </w:r>
    </w:p>
    <w:p>
      <w:pPr>
        <w:pStyle w:val="ListBullet"/>
        <w:spacing w:after="60"/>
        <w:ind w:left="397"/>
        <w:jc w:val="both"/>
      </w:pPr>
      <w:r>
        <w:rPr>
          <w:rFonts w:ascii="Calibri" w:hAnsi="Calibri"/>
          <w:color w:val="1A1A1A"/>
          <w:sz w:val="24"/>
        </w:rPr>
        <w:t>PENDÊNCIA INSTITUCIONAL. A eleição da tecnologia-piloto exige deliberação colegiada registrada em ata. Este relatório propõe, não decide.</w:t>
      </w:r>
    </w:p>
    <w:p>
      <w:pPr>
        <w:pStyle w:val="ListBullet"/>
        <w:spacing w:after="60"/>
        <w:ind w:left="397"/>
        <w:jc w:val="both"/>
      </w:pPr>
      <w:r>
        <w:rPr>
          <w:rFonts w:ascii="Calibri" w:hAnsi="Calibri"/>
          <w:color w:val="1A1A1A"/>
          <w:sz w:val="24"/>
        </w:rPr>
        <w:t>PENDÊNCIA INSTITUCIONAL. A verificação regulatória por equipamento específico não foi realizada e não pode ser presumida.</w:t>
      </w:r>
    </w:p>
    <w:p>
      <w:pPr>
        <w:pStyle w:val="ListBullet"/>
        <w:spacing w:after="60"/>
        <w:ind w:left="397"/>
        <w:jc w:val="both"/>
      </w:pPr>
      <w:r>
        <w:rPr>
          <w:rFonts w:ascii="Calibri" w:hAnsi="Calibri"/>
          <w:color w:val="1A1A1A"/>
          <w:sz w:val="24"/>
        </w:rPr>
        <w:t>RECOMENDAÇÃO TÉCNICA. A literatura verificada é de origem médica. Sua transposição ao escopo odontológico depende de análise institucional própria.</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BF0E6"/>
          <w:bottom w:val="single" w:sz="4" w:space="0" w:color="FBF0E6"/>
          <w:right w:val="single" w:sz="4" w:space="0" w:color="FBF0E6"/>
          <w:insideH w:val="single" w:sz="4" w:space="0" w:color="FBF0E6"/>
          <w:insideV w:val="single" w:sz="4" w:space="0" w:color="FBF0E6"/>
          <w:left w:val="single" w:sz="24" w:space="0" w:color="A05A2C"/>
        </w:tblBorders>
        <w:tblLayout w:type="fixed"/>
      </w:tblPr>
      <w:tblGrid>
        <w:gridCol w:w="9072"/>
      </w:tblGrid>
      <w:tr>
        <w:tc>
          <w:tcPr>
            <w:tcW w:type="dxa" w:w="9072"/>
            <w:shd w:val="clear" w:color="auto" w:fill="FBF0E6"/>
          </w:tcPr>
          <w:p>
            <w:pPr>
              <w:spacing w:after="60"/>
              <w:jc w:val="left"/>
            </w:pPr>
            <w:r/>
            <w:r>
              <w:rPr>
                <w:rFonts w:ascii="Calibri" w:hAnsi="Calibri"/>
                <w:b/>
                <w:color w:val="143C64"/>
                <w:sz w:val="24"/>
              </w:rPr>
              <w:t>Registro de situação contenciosa, verificado em 25 de agosto de 2026</w:t>
            </w:r>
          </w:p>
          <w:p>
            <w:pPr>
              <w:spacing w:after="0"/>
              <w:jc w:val="both"/>
            </w:pPr>
            <w:r>
              <w:rPr>
                <w:rFonts w:ascii="Calibri" w:hAnsi="Calibri"/>
                <w:color w:val="1A1A1A"/>
                <w:sz w:val="24"/>
              </w:rPr>
              <w:t>Em 19 de agosto de 2026, a 8ª Turma do Tribunal Regional Federal da 1ª Região decidiu, por três votos a dois, pela anulação da Resolução CFO nº 198/2019, no processo nº 1003948-83.2019.4.01.3400. Segundo as fontes consultadas, ainda cabe recurso e a medida produz efeito a partir da publicação do acórdão. O Conselho Federal de Odontologia manifestou discordância e informou que adotará as medidas judiciais cabíveis, registrando que, naquele momento, não havia mudança nas atribuições dos cirurgiões-dentistas. Este pacote não depende dessa resolução: sua fundamentação é sanitária, apoiada na RDC Anvisa nº 1.002/2025 e nos demais atos listados no mapa normativo. O fato é registrado por dever de atualidade, e não como posição do Núcleo sobre o mérito da decisão judicial, matéria estranha à sua competência técnica.</w:t>
            </w:r>
          </w:p>
        </w:tc>
      </w:tr>
    </w:tbl>
    <w:p>
      <w:pPr>
        <w:spacing w:after="80"/>
      </w:pP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378"/>
        <w:gridCol w:w="3117"/>
        <w:gridCol w:w="3577"/>
      </w:tblGrid>
      <w:tr>
        <w:trPr>
          <w:cantSplit/>
          <w:tblHeader/>
        </w:trPr>
        <w:tc>
          <w:tcPr>
            <w:tcW w:type="dxa" w:w="2378"/>
            <w:shd w:val="clear" w:color="auto" w:fill="143C64"/>
          </w:tcPr>
          <w:p>
            <w:pPr>
              <w:spacing w:after="0"/>
              <w:jc w:val="left"/>
            </w:pPr>
            <w:r/>
            <w:r>
              <w:rPr>
                <w:rFonts w:ascii="Calibri" w:hAnsi="Calibri"/>
                <w:b/>
                <w:color w:val="FFFFFF"/>
                <w:sz w:val="24"/>
              </w:rPr>
              <w:t>Ato</w:t>
            </w:r>
          </w:p>
        </w:tc>
        <w:tc>
          <w:tcPr>
            <w:tcW w:type="dxa" w:w="3117"/>
            <w:shd w:val="clear" w:color="auto" w:fill="143C64"/>
          </w:tcPr>
          <w:p>
            <w:pPr>
              <w:spacing w:after="0"/>
              <w:jc w:val="left"/>
            </w:pPr>
            <w:r/>
            <w:r>
              <w:rPr>
                <w:rFonts w:ascii="Calibri" w:hAnsi="Calibri"/>
                <w:b/>
                <w:color w:val="FFFFFF"/>
                <w:sz w:val="24"/>
              </w:rPr>
              <w:t>Objeto</w:t>
            </w:r>
          </w:p>
        </w:tc>
        <w:tc>
          <w:tcPr>
            <w:tcW w:type="dxa" w:w="3577"/>
            <w:shd w:val="clear" w:color="auto" w:fill="143C64"/>
          </w:tcPr>
          <w:p>
            <w:pPr>
              <w:spacing w:after="0"/>
              <w:jc w:val="left"/>
            </w:pPr>
            <w:r/>
            <w:r>
              <w:rPr>
                <w:rFonts w:ascii="Calibri" w:hAnsi="Calibri"/>
                <w:b/>
                <w:color w:val="FFFFFF"/>
                <w:sz w:val="24"/>
              </w:rPr>
              <w:t>Incidência no pacote</w:t>
            </w:r>
          </w:p>
        </w:tc>
      </w:tr>
      <w:tr>
        <w:trPr>
          <w:cantSplit/>
        </w:trPr>
        <w:tc>
          <w:tcPr>
            <w:tcW w:type="dxa" w:w="2378"/>
          </w:tcPr>
          <w:p>
            <w:pPr>
              <w:spacing w:after="0"/>
              <w:jc w:val="left"/>
            </w:pPr>
            <w:r/>
            <w:r>
              <w:rPr>
                <w:rFonts w:ascii="Calibri" w:hAnsi="Calibri"/>
                <w:b w:val="0"/>
                <w:color w:val="1A1A1A"/>
                <w:sz w:val="24"/>
              </w:rPr>
              <w:t>Lei nº 5.081, de 24 de agosto de 1966</w:t>
            </w:r>
          </w:p>
        </w:tc>
        <w:tc>
          <w:tcPr>
            <w:tcW w:type="dxa" w:w="3117"/>
          </w:tcPr>
          <w:p>
            <w:pPr>
              <w:spacing w:after="0"/>
              <w:jc w:val="left"/>
            </w:pPr>
            <w:r/>
            <w:r>
              <w:rPr>
                <w:rFonts w:ascii="Calibri" w:hAnsi="Calibri"/>
                <w:b w:val="0"/>
                <w:color w:val="1A1A1A"/>
                <w:sz w:val="24"/>
              </w:rPr>
              <w:t>Regula o exercício da Odontologia no Brasil.</w:t>
            </w:r>
          </w:p>
        </w:tc>
        <w:tc>
          <w:tcPr>
            <w:tcW w:type="dxa" w:w="3577"/>
          </w:tcPr>
          <w:p>
            <w:pPr>
              <w:spacing w:after="0"/>
              <w:jc w:val="left"/>
            </w:pPr>
            <w:r/>
            <w:r>
              <w:rPr>
                <w:rFonts w:ascii="Calibri" w:hAnsi="Calibri"/>
                <w:b w:val="0"/>
                <w:color w:val="1A1A1A"/>
                <w:sz w:val="24"/>
              </w:rPr>
              <w:t>Base legal do exercício profissional.</w:t>
            </w:r>
          </w:p>
        </w:tc>
      </w:tr>
      <w:tr>
        <w:trPr>
          <w:cantSplit/>
        </w:trPr>
        <w:tc>
          <w:tcPr>
            <w:tcW w:type="dxa" w:w="2378"/>
            <w:shd w:val="clear" w:color="auto" w:fill="F2F5F8"/>
          </w:tcPr>
          <w:p>
            <w:pPr>
              <w:spacing w:after="0"/>
              <w:jc w:val="left"/>
            </w:pPr>
            <w:r/>
            <w:r>
              <w:rPr>
                <w:rFonts w:ascii="Calibri" w:hAnsi="Calibri"/>
                <w:b w:val="0"/>
                <w:color w:val="1A1A1A"/>
                <w:sz w:val="24"/>
              </w:rPr>
              <w:t>Resolução CFO nº 118/2012</w:t>
            </w:r>
          </w:p>
        </w:tc>
        <w:tc>
          <w:tcPr>
            <w:tcW w:type="dxa" w:w="3117"/>
            <w:shd w:val="clear" w:color="auto" w:fill="F2F5F8"/>
          </w:tcPr>
          <w:p>
            <w:pPr>
              <w:spacing w:after="0"/>
              <w:jc w:val="left"/>
            </w:pPr>
            <w:r/>
            <w:r>
              <w:rPr>
                <w:rFonts w:ascii="Calibri" w:hAnsi="Calibri"/>
                <w:b w:val="0"/>
                <w:color w:val="1A1A1A"/>
                <w:sz w:val="24"/>
              </w:rPr>
              <w:t>Código de Ética Odontológica.</w:t>
            </w:r>
          </w:p>
        </w:tc>
        <w:tc>
          <w:tcPr>
            <w:tcW w:type="dxa" w:w="3577"/>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378"/>
          </w:tcPr>
          <w:p>
            <w:pPr>
              <w:spacing w:after="0"/>
              <w:jc w:val="left"/>
            </w:pPr>
            <w:r/>
            <w:r>
              <w:rPr>
                <w:rFonts w:ascii="Calibri" w:hAnsi="Calibri"/>
                <w:b w:val="0"/>
                <w:color w:val="1A1A1A"/>
                <w:sz w:val="24"/>
              </w:rPr>
              <w:t>RDC Anvisa nº 1.002, de 15 de dezembro de 2025</w:t>
            </w:r>
          </w:p>
        </w:tc>
        <w:tc>
          <w:tcPr>
            <w:tcW w:type="dxa" w:w="3117"/>
          </w:tcPr>
          <w:p>
            <w:pPr>
              <w:spacing w:after="0"/>
              <w:jc w:val="left"/>
            </w:pPr>
            <w:r/>
            <w:r>
              <w:rPr>
                <w:rFonts w:ascii="Calibri" w:hAnsi="Calibri"/>
                <w:b w:val="0"/>
                <w:color w:val="1A1A1A"/>
                <w:sz w:val="24"/>
              </w:rPr>
              <w:t>Boas Práticas de Funcionamento para serviços que prestam assistência odontológica.</w:t>
            </w:r>
          </w:p>
        </w:tc>
        <w:tc>
          <w:tcPr>
            <w:tcW w:type="dxa" w:w="3577"/>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378"/>
            <w:shd w:val="clear" w:color="auto" w:fill="F2F5F8"/>
          </w:tcPr>
          <w:p>
            <w:pPr>
              <w:spacing w:after="0"/>
              <w:jc w:val="left"/>
            </w:pPr>
            <w:r/>
            <w:r>
              <w:rPr>
                <w:rFonts w:ascii="Calibri" w:hAnsi="Calibri"/>
                <w:b w:val="0"/>
                <w:color w:val="1A1A1A"/>
                <w:sz w:val="24"/>
              </w:rPr>
              <w:t>RDC Anvisa nº 63/2011</w:t>
            </w:r>
          </w:p>
        </w:tc>
        <w:tc>
          <w:tcPr>
            <w:tcW w:type="dxa" w:w="3117"/>
            <w:shd w:val="clear" w:color="auto" w:fill="F2F5F8"/>
          </w:tcPr>
          <w:p>
            <w:pPr>
              <w:spacing w:after="0"/>
              <w:jc w:val="left"/>
            </w:pPr>
            <w:r/>
            <w:r>
              <w:rPr>
                <w:rFonts w:ascii="Calibri" w:hAnsi="Calibri"/>
                <w:b w:val="0"/>
                <w:color w:val="1A1A1A"/>
                <w:sz w:val="24"/>
              </w:rPr>
              <w:t>Boas Práticas de Funcionamento para serviços de saúde.</w:t>
            </w:r>
          </w:p>
        </w:tc>
        <w:tc>
          <w:tcPr>
            <w:tcW w:type="dxa" w:w="3577"/>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378"/>
          </w:tcPr>
          <w:p>
            <w:pPr>
              <w:spacing w:after="0"/>
              <w:jc w:val="left"/>
            </w:pPr>
            <w:r/>
            <w:r>
              <w:rPr>
                <w:rFonts w:ascii="Calibri" w:hAnsi="Calibri"/>
                <w:b w:val="0"/>
                <w:color w:val="1A1A1A"/>
                <w:sz w:val="24"/>
              </w:rPr>
              <w:t>RDC Anvisa nº 509/2021</w:t>
            </w:r>
          </w:p>
        </w:tc>
        <w:tc>
          <w:tcPr>
            <w:tcW w:type="dxa" w:w="3117"/>
          </w:tcPr>
          <w:p>
            <w:pPr>
              <w:spacing w:after="0"/>
              <w:jc w:val="left"/>
            </w:pPr>
            <w:r/>
            <w:r>
              <w:rPr>
                <w:rFonts w:ascii="Calibri" w:hAnsi="Calibri"/>
                <w:b w:val="0"/>
                <w:color w:val="1A1A1A"/>
                <w:sz w:val="24"/>
              </w:rPr>
              <w:t>Gerenciamento de tecnologias em serviços de saúde.</w:t>
            </w:r>
          </w:p>
        </w:tc>
        <w:tc>
          <w:tcPr>
            <w:tcW w:type="dxa" w:w="3577"/>
          </w:tcPr>
          <w:p>
            <w:pPr>
              <w:spacing w:after="0"/>
              <w:jc w:val="left"/>
            </w:pPr>
            <w:r/>
            <w:r>
              <w:rPr>
                <w:rFonts w:ascii="Calibri" w:hAnsi="Calibri"/>
                <w:b w:val="0"/>
                <w:color w:val="1A1A1A"/>
                <w:sz w:val="24"/>
              </w:rPr>
              <w:t>Plano de gerenciamento, rastreabilidade, guarda e monitoramento.</w:t>
            </w:r>
          </w:p>
        </w:tc>
      </w:tr>
      <w:tr>
        <w:trPr>
          <w:cantSplit/>
        </w:trPr>
        <w:tc>
          <w:tcPr>
            <w:tcW w:type="dxa" w:w="2378"/>
            <w:shd w:val="clear" w:color="auto" w:fill="F2F5F8"/>
          </w:tcPr>
          <w:p>
            <w:pPr>
              <w:spacing w:after="0"/>
              <w:jc w:val="left"/>
            </w:pPr>
            <w:r/>
            <w:r>
              <w:rPr>
                <w:rFonts w:ascii="Calibri" w:hAnsi="Calibri"/>
                <w:b w:val="0"/>
                <w:color w:val="1A1A1A"/>
                <w:sz w:val="24"/>
              </w:rPr>
              <w:t>RDC Anvisa nº 751/2022</w:t>
            </w:r>
          </w:p>
        </w:tc>
        <w:tc>
          <w:tcPr>
            <w:tcW w:type="dxa" w:w="3117"/>
            <w:shd w:val="clear" w:color="auto" w:fill="F2F5F8"/>
          </w:tcPr>
          <w:p>
            <w:pPr>
              <w:spacing w:after="0"/>
              <w:jc w:val="left"/>
            </w:pPr>
            <w:r/>
            <w:r>
              <w:rPr>
                <w:rFonts w:ascii="Calibri" w:hAnsi="Calibri"/>
                <w:b w:val="0"/>
                <w:color w:val="1A1A1A"/>
                <w:sz w:val="24"/>
              </w:rPr>
              <w:t>Dispositivos médicos: classificação e regularização.</w:t>
            </w:r>
          </w:p>
        </w:tc>
        <w:tc>
          <w:tcPr>
            <w:tcW w:type="dxa" w:w="3577"/>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378"/>
          </w:tcPr>
          <w:p>
            <w:pPr>
              <w:spacing w:after="0"/>
              <w:jc w:val="left"/>
            </w:pPr>
            <w:r/>
            <w:r>
              <w:rPr>
                <w:rFonts w:ascii="Calibri" w:hAnsi="Calibri"/>
                <w:b w:val="0"/>
                <w:color w:val="1A1A1A"/>
                <w:sz w:val="24"/>
              </w:rPr>
              <w:t>RDC Anvisa nº 549/2021</w:t>
            </w:r>
          </w:p>
        </w:tc>
        <w:tc>
          <w:tcPr>
            <w:tcW w:type="dxa" w:w="3117"/>
          </w:tcPr>
          <w:p>
            <w:pPr>
              <w:spacing w:after="0"/>
              <w:jc w:val="left"/>
            </w:pPr>
            <w:r/>
            <w:r>
              <w:rPr>
                <w:rFonts w:ascii="Calibri" w:hAnsi="Calibri"/>
                <w:b w:val="0"/>
                <w:color w:val="1A1A1A"/>
                <w:sz w:val="24"/>
              </w:rPr>
              <w:t>Certificação de conformidade de equipamentos sob regime aplicável.</w:t>
            </w:r>
          </w:p>
        </w:tc>
        <w:tc>
          <w:tcPr>
            <w:tcW w:type="dxa" w:w="3577"/>
          </w:tcPr>
          <w:p>
            <w:pPr>
              <w:spacing w:after="0"/>
              <w:jc w:val="left"/>
            </w:pPr>
            <w:r/>
            <w:r>
              <w:rPr>
                <w:rFonts w:ascii="Calibri" w:hAnsi="Calibri"/>
                <w:b w:val="0"/>
                <w:color w:val="1A1A1A"/>
                <w:sz w:val="24"/>
              </w:rPr>
              <w:t>Conformidade de equipamentos eletromédicos.</w:t>
            </w:r>
          </w:p>
        </w:tc>
      </w:tr>
      <w:tr>
        <w:trPr>
          <w:cantSplit/>
        </w:trPr>
        <w:tc>
          <w:tcPr>
            <w:tcW w:type="dxa" w:w="2378"/>
            <w:shd w:val="clear" w:color="auto" w:fill="F2F5F8"/>
          </w:tcPr>
          <w:p>
            <w:pPr>
              <w:spacing w:after="0"/>
              <w:jc w:val="left"/>
            </w:pPr>
            <w:r/>
            <w:r>
              <w:rPr>
                <w:rFonts w:ascii="Calibri" w:hAnsi="Calibri"/>
                <w:b w:val="0"/>
                <w:color w:val="1A1A1A"/>
                <w:sz w:val="24"/>
              </w:rPr>
              <w:t>Lei nº 13.709/2018</w:t>
            </w:r>
          </w:p>
        </w:tc>
        <w:tc>
          <w:tcPr>
            <w:tcW w:type="dxa" w:w="3117"/>
            <w:shd w:val="clear" w:color="auto" w:fill="F2F5F8"/>
          </w:tcPr>
          <w:p>
            <w:pPr>
              <w:spacing w:after="0"/>
              <w:jc w:val="left"/>
            </w:pPr>
            <w:r/>
            <w:r>
              <w:rPr>
                <w:rFonts w:ascii="Calibri" w:hAnsi="Calibri"/>
                <w:b w:val="0"/>
                <w:color w:val="1A1A1A"/>
                <w:sz w:val="24"/>
              </w:rPr>
              <w:t>Lei Geral de Proteção de Dados Pessoais.</w:t>
            </w:r>
          </w:p>
        </w:tc>
        <w:tc>
          <w:tcPr>
            <w:tcW w:type="dxa" w:w="3577"/>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378"/>
          </w:tcPr>
          <w:p>
            <w:pPr>
              <w:spacing w:after="0"/>
              <w:jc w:val="left"/>
            </w:pPr>
            <w:r/>
            <w:r>
              <w:rPr>
                <w:rFonts w:ascii="Calibri" w:hAnsi="Calibri"/>
                <w:b w:val="0"/>
                <w:color w:val="1A1A1A"/>
                <w:sz w:val="24"/>
              </w:rPr>
              <w:t>Lei nº 15.378, de 6 de abril de 2026</w:t>
            </w:r>
          </w:p>
        </w:tc>
        <w:tc>
          <w:tcPr>
            <w:tcW w:type="dxa" w:w="3117"/>
          </w:tcPr>
          <w:p>
            <w:pPr>
              <w:spacing w:after="0"/>
              <w:jc w:val="left"/>
            </w:pPr>
            <w:r/>
            <w:r>
              <w:rPr>
                <w:rFonts w:ascii="Calibri" w:hAnsi="Calibri"/>
                <w:b w:val="0"/>
                <w:color w:val="1A1A1A"/>
                <w:sz w:val="24"/>
              </w:rPr>
              <w:t>Institui o Estatuto dos Direitos do Paciente.</w:t>
            </w:r>
          </w:p>
        </w:tc>
        <w:tc>
          <w:tcPr>
            <w:tcW w:type="dxa" w:w="3577"/>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378"/>
            <w:shd w:val="clear" w:color="auto" w:fill="F2F5F8"/>
          </w:tcPr>
          <w:p>
            <w:pPr>
              <w:spacing w:after="0"/>
              <w:jc w:val="left"/>
            </w:pPr>
            <w:r/>
            <w:r>
              <w:rPr>
                <w:rFonts w:ascii="Calibri" w:hAnsi="Calibri"/>
                <w:b w:val="0"/>
                <w:color w:val="1A1A1A"/>
                <w:sz w:val="24"/>
              </w:rPr>
              <w:t>Lei nº 12.842/2013</w:t>
            </w:r>
          </w:p>
        </w:tc>
        <w:tc>
          <w:tcPr>
            <w:tcW w:type="dxa" w:w="3117"/>
            <w:shd w:val="clear" w:color="auto" w:fill="F2F5F8"/>
          </w:tcPr>
          <w:p>
            <w:pPr>
              <w:spacing w:after="0"/>
              <w:jc w:val="left"/>
            </w:pPr>
            <w:r/>
            <w:r>
              <w:rPr>
                <w:rFonts w:ascii="Calibri" w:hAnsi="Calibri"/>
                <w:b w:val="0"/>
                <w:color w:val="1A1A1A"/>
                <w:sz w:val="24"/>
              </w:rPr>
              <w:t>Lei do Ato Médico.</w:t>
            </w:r>
          </w:p>
        </w:tc>
        <w:tc>
          <w:tcPr>
            <w:tcW w:type="dxa" w:w="3577"/>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378"/>
          </w:tcPr>
          <w:p>
            <w:pPr>
              <w:spacing w:after="0"/>
              <w:jc w:val="left"/>
            </w:pPr>
            <w:r/>
            <w:r>
              <w:rPr>
                <w:rFonts w:ascii="Calibri" w:hAnsi="Calibri"/>
                <w:b w:val="0"/>
                <w:color w:val="1A1A1A"/>
                <w:sz w:val="24"/>
              </w:rPr>
              <w:t>Portaria CRO-MG nº 190/2026</w:t>
            </w:r>
          </w:p>
        </w:tc>
        <w:tc>
          <w:tcPr>
            <w:tcW w:type="dxa" w:w="3117"/>
          </w:tcPr>
          <w:p>
            <w:pPr>
              <w:spacing w:after="0"/>
              <w:jc w:val="left"/>
            </w:pPr>
            <w:r/>
            <w:r>
              <w:rPr>
                <w:rFonts w:ascii="Calibri" w:hAnsi="Calibri"/>
                <w:b w:val="0"/>
                <w:color w:val="1A1A1A"/>
                <w:sz w:val="24"/>
              </w:rPr>
              <w:t>Constitui a Câmara Técnica de HOF e seus Núcleos.</w:t>
            </w:r>
          </w:p>
        </w:tc>
        <w:tc>
          <w:tcPr>
            <w:tcW w:type="dxa" w:w="3577"/>
          </w:tcPr>
          <w:p>
            <w:pPr>
              <w:spacing w:after="0"/>
              <w:jc w:val="left"/>
            </w:pPr>
            <w:r/>
            <w:r>
              <w:rPr>
                <w:rFonts w:ascii="Calibri" w:hAnsi="Calibri"/>
                <w:b w:val="0"/>
                <w:color w:val="1A1A1A"/>
                <w:sz w:val="24"/>
              </w:rPr>
              <w:t>Competência e composição do Núcleo 5.</w:t>
            </w:r>
          </w:p>
        </w:tc>
      </w:tr>
    </w:tbl>
    <w:p>
      <w:pPr>
        <w:keepNext/>
        <w:spacing w:before="240" w:after="80"/>
        <w:jc w:val="left"/>
      </w:pPr>
      <w:r>
        <w:rPr>
          <w:rFonts w:ascii="Calibri" w:hAnsi="Calibri"/>
          <w:b/>
          <w:color w:val="143C64"/>
          <w:sz w:val="26"/>
        </w:rPr>
        <w:t>Base científica</w:t>
      </w:r>
    </w:p>
    <w:p>
      <w:pPr>
        <w:spacing w:after="120"/>
        <w:jc w:val="both"/>
      </w:pPr>
      <w:r>
        <w:rPr>
          <w:rFonts w:ascii="Calibri" w:hAnsi="Calibri"/>
          <w:b w:val="0"/>
          <w:i w:val="0"/>
          <w:color w:val="1A1A1A"/>
          <w:sz w:val="24"/>
        </w:rPr>
        <w:t>As referências científicas abaixo foram verificadas individualmente na base PubMed em 25 de agosto de 2026. Identificador e localização bibliográfica foram conferidos um a um. Nenhuma referência foi incluída sem essa verificação.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45"/>
        <w:gridCol w:w="2255"/>
        <w:gridCol w:w="3073"/>
      </w:tblGrid>
      <w:tr>
        <w:trPr>
          <w:cantSplit/>
          <w:tblHeader/>
        </w:trPr>
        <w:tc>
          <w:tcPr>
            <w:tcW w:type="dxa" w:w="3745"/>
            <w:shd w:val="clear" w:color="auto" w:fill="143C64"/>
          </w:tcPr>
          <w:p>
            <w:pPr>
              <w:spacing w:after="0"/>
              <w:jc w:val="left"/>
            </w:pPr>
            <w:r/>
            <w:r>
              <w:rPr>
                <w:rFonts w:ascii="Calibri" w:hAnsi="Calibri"/>
                <w:b/>
                <w:color w:val="FFFFFF"/>
                <w:sz w:val="24"/>
              </w:rPr>
              <w:t>Referência</w:t>
            </w:r>
          </w:p>
        </w:tc>
        <w:tc>
          <w:tcPr>
            <w:tcW w:type="dxa" w:w="2255"/>
            <w:shd w:val="clear" w:color="auto" w:fill="143C64"/>
          </w:tcPr>
          <w:p>
            <w:pPr>
              <w:spacing w:after="0"/>
              <w:jc w:val="left"/>
            </w:pPr>
            <w:r/>
            <w:r>
              <w:rPr>
                <w:rFonts w:ascii="Calibri" w:hAnsi="Calibri"/>
                <w:b/>
                <w:color w:val="FFFFFF"/>
                <w:sz w:val="24"/>
              </w:rPr>
              <w:t>Desenho</w:t>
            </w:r>
          </w:p>
        </w:tc>
        <w:tc>
          <w:tcPr>
            <w:tcW w:type="dxa" w:w="3073"/>
            <w:shd w:val="clear" w:color="auto" w:fill="143C64"/>
          </w:tcPr>
          <w:p>
            <w:pPr>
              <w:spacing w:after="0"/>
              <w:jc w:val="left"/>
            </w:pPr>
            <w:r/>
            <w:r>
              <w:rPr>
                <w:rFonts w:ascii="Calibri" w:hAnsi="Calibri"/>
                <w:b/>
                <w:color w:val="FFFFFF"/>
                <w:sz w:val="24"/>
              </w:rPr>
              <w:t>Identificadores e verificação</w:t>
            </w:r>
          </w:p>
        </w:tc>
      </w:tr>
      <w:tr>
        <w:trPr>
          <w:cantSplit/>
        </w:trPr>
        <w:tc>
          <w:tcPr>
            <w:tcW w:type="dxa" w:w="3745"/>
          </w:tcPr>
          <w:p>
            <w:pPr>
              <w:spacing w:after="0"/>
              <w:jc w:val="left"/>
            </w:pPr>
            <w:r/>
            <w:r>
              <w:rPr>
                <w:rFonts w:ascii="Calibri" w:hAnsi="Calibri"/>
                <w:b w:val="0"/>
                <w:color w:val="1A1A1A"/>
                <w:sz w:val="24"/>
              </w:rPr>
              <w:t>Madero-Pérez J, Gil-Martinez M, Muñoz-Gonzalez C, Fakih D, Martin-Marfil P, Fakih-Gomez N. Guide for Managing Vascular Occlusion Caused by Fillers with Exclusive Cutaneous Involvement. Aesthetic Plast Surg. 2025;50(5):2068-2082.</w:t>
            </w:r>
          </w:p>
        </w:tc>
        <w:tc>
          <w:tcPr>
            <w:tcW w:type="dxa" w:w="2255"/>
          </w:tcPr>
          <w:p>
            <w:pPr>
              <w:spacing w:after="0"/>
              <w:jc w:val="left"/>
            </w:pPr>
            <w:r/>
            <w:r>
              <w:rPr>
                <w:rFonts w:ascii="Calibri" w:hAnsi="Calibri"/>
                <w:b w:val="0"/>
                <w:color w:val="1A1A1A"/>
                <w:sz w:val="24"/>
              </w:rPr>
              <w:t>Revisão sistemática</w:t>
            </w:r>
          </w:p>
        </w:tc>
        <w:tc>
          <w:tcPr>
            <w:tcW w:type="dxa" w:w="3073"/>
          </w:tcPr>
          <w:p>
            <w:pPr>
              <w:spacing w:after="0"/>
              <w:jc w:val="left"/>
            </w:pPr>
            <w:r/>
            <w:r>
              <w:rPr>
                <w:rFonts w:ascii="Calibri" w:hAnsi="Calibri"/>
                <w:b w:val="0"/>
                <w:color w:val="1A1A1A"/>
                <w:sz w:val="24"/>
              </w:rPr>
              <w:t>PMID 40770496</w:t>
            </w:r>
          </w:p>
          <w:p>
            <w:pPr>
              <w:spacing w:after="0"/>
              <w:jc w:val="left"/>
            </w:pPr>
            <w:r>
              <w:rPr>
                <w:rFonts w:ascii="Calibri" w:hAnsi="Calibri"/>
                <w:b w:val="0"/>
                <w:color w:val="1A1A1A"/>
                <w:sz w:val="24"/>
              </w:rPr>
              <w:t>DOI 10.1007/s00266-025-05104-3</w:t>
            </w:r>
          </w:p>
          <w:p>
            <w:pPr>
              <w:spacing w:after="0"/>
              <w:jc w:val="left"/>
            </w:pPr>
            <w:r>
              <w:rPr>
                <w:rFonts w:ascii="Calibri" w:hAnsi="Calibri"/>
                <w:b w:val="0"/>
                <w:color w:val="1A1A1A"/>
                <w:sz w:val="24"/>
              </w:rPr>
              <w:t>Verificado em 25 de agosto de 2026</w:t>
            </w:r>
          </w:p>
        </w:tc>
      </w:tr>
      <w:tr>
        <w:trPr>
          <w:cantSplit/>
        </w:trPr>
        <w:tc>
          <w:tcPr>
            <w:tcW w:type="dxa" w:w="3745"/>
            <w:shd w:val="clear" w:color="auto" w:fill="F2F5F8"/>
          </w:tcPr>
          <w:p>
            <w:pPr>
              <w:spacing w:after="0"/>
              <w:jc w:val="left"/>
            </w:pPr>
            <w:r/>
            <w:r>
              <w:rPr>
                <w:rFonts w:ascii="Calibri" w:hAnsi="Calibri"/>
                <w:b w:val="0"/>
                <w:color w:val="1A1A1A"/>
                <w:sz w:val="24"/>
              </w:rPr>
              <w:t>Madero-Pérez J, Gil-Martinez M, Arrien L, Nazari S, Pourani MR, Martin-Marfil P, Fakih-Gomez N. Guide for Managing Vascular Occlusion Due to Fillers with Extended Neuro-Ophthalmic Involvement. Aesthetic Plast Surg. 2026;50(11):4387-4404.</w:t>
            </w:r>
          </w:p>
        </w:tc>
        <w:tc>
          <w:tcPr>
            <w:tcW w:type="dxa" w:w="2255"/>
            <w:shd w:val="clear" w:color="auto" w:fill="F2F5F8"/>
          </w:tcPr>
          <w:p>
            <w:pPr>
              <w:spacing w:after="0"/>
              <w:jc w:val="left"/>
            </w:pPr>
            <w:r/>
            <w:r>
              <w:rPr>
                <w:rFonts w:ascii="Calibri" w:hAnsi="Calibri"/>
                <w:b w:val="0"/>
                <w:color w:val="1A1A1A"/>
                <w:sz w:val="24"/>
              </w:rPr>
              <w:t>Revisão (35 artigos, PRISMA 2020)</w:t>
            </w:r>
          </w:p>
        </w:tc>
        <w:tc>
          <w:tcPr>
            <w:tcW w:type="dxa" w:w="3073"/>
            <w:shd w:val="clear" w:color="auto" w:fill="F2F5F8"/>
          </w:tcPr>
          <w:p>
            <w:pPr>
              <w:spacing w:after="0"/>
              <w:jc w:val="left"/>
            </w:pPr>
            <w:r/>
            <w:r>
              <w:rPr>
                <w:rFonts w:ascii="Calibri" w:hAnsi="Calibri"/>
                <w:b w:val="0"/>
                <w:color w:val="1A1A1A"/>
                <w:sz w:val="24"/>
              </w:rPr>
              <w:t>PMID 41840246</w:t>
            </w:r>
          </w:p>
          <w:p>
            <w:pPr>
              <w:spacing w:after="0"/>
              <w:jc w:val="left"/>
            </w:pPr>
            <w:r>
              <w:rPr>
                <w:rFonts w:ascii="Calibri" w:hAnsi="Calibri"/>
                <w:b w:val="0"/>
                <w:color w:val="1A1A1A"/>
                <w:sz w:val="24"/>
              </w:rPr>
              <w:t>DOI 10.1007/s00266-026-05792-5</w:t>
            </w:r>
          </w:p>
          <w:p>
            <w:pPr>
              <w:spacing w:after="0"/>
              <w:jc w:val="left"/>
            </w:pPr>
            <w:r>
              <w:rPr>
                <w:rFonts w:ascii="Calibri" w:hAnsi="Calibri"/>
                <w:b w:val="0"/>
                <w:color w:val="1A1A1A"/>
                <w:sz w:val="24"/>
              </w:rPr>
              <w:t>Verificado em 25 de agosto de 2026</w:t>
            </w:r>
          </w:p>
        </w:tc>
      </w:tr>
      <w:tr>
        <w:trPr>
          <w:cantSplit/>
        </w:trPr>
        <w:tc>
          <w:tcPr>
            <w:tcW w:type="dxa" w:w="3745"/>
          </w:tcPr>
          <w:p>
            <w:pPr>
              <w:spacing w:after="0"/>
              <w:jc w:val="left"/>
            </w:pPr>
            <w:r/>
            <w:r>
              <w:rPr>
                <w:rFonts w:ascii="Calibri" w:hAnsi="Calibri"/>
                <w:b w:val="0"/>
                <w:color w:val="1A1A1A"/>
                <w:sz w:val="24"/>
              </w:rPr>
              <w:t>Madero-Pérez J, Gil-Martinez M, Muñoz-Gonzalez C, Martin-Marfil P, Fakih-Gomez N. Essential Pharmaceutical Drugs in the Filler Emergency Kit. Aesthetic Plast Surg. 2025;49(14):4043-4056.</w:t>
            </w:r>
          </w:p>
        </w:tc>
        <w:tc>
          <w:tcPr>
            <w:tcW w:type="dxa" w:w="2255"/>
          </w:tcPr>
          <w:p>
            <w:pPr>
              <w:spacing w:after="0"/>
              <w:jc w:val="left"/>
            </w:pPr>
            <w:r/>
            <w:r>
              <w:rPr>
                <w:rFonts w:ascii="Calibri" w:hAnsi="Calibri"/>
                <w:b w:val="0"/>
                <w:color w:val="1A1A1A"/>
                <w:sz w:val="24"/>
              </w:rPr>
              <w:t>Revisão</w:t>
            </w:r>
          </w:p>
        </w:tc>
        <w:tc>
          <w:tcPr>
            <w:tcW w:type="dxa" w:w="3073"/>
          </w:tcPr>
          <w:p>
            <w:pPr>
              <w:spacing w:after="0"/>
              <w:jc w:val="left"/>
            </w:pPr>
            <w:r/>
            <w:r>
              <w:rPr>
                <w:rFonts w:ascii="Calibri" w:hAnsi="Calibri"/>
                <w:b w:val="0"/>
                <w:color w:val="1A1A1A"/>
                <w:sz w:val="24"/>
              </w:rPr>
              <w:t>PMID 40164895</w:t>
            </w:r>
          </w:p>
          <w:p>
            <w:pPr>
              <w:spacing w:after="0"/>
              <w:jc w:val="left"/>
            </w:pPr>
            <w:r>
              <w:rPr>
                <w:rFonts w:ascii="Calibri" w:hAnsi="Calibri"/>
                <w:b w:val="0"/>
                <w:color w:val="1A1A1A"/>
                <w:sz w:val="24"/>
              </w:rPr>
              <w:t>DOI 10.1007/s00266-025-04808-w</w:t>
            </w:r>
          </w:p>
          <w:p>
            <w:pPr>
              <w:spacing w:after="0"/>
              <w:jc w:val="left"/>
            </w:pPr>
            <w:r>
              <w:rPr>
                <w:rFonts w:ascii="Calibri" w:hAnsi="Calibri"/>
                <w:b w:val="0"/>
                <w:color w:val="1A1A1A"/>
                <w:sz w:val="24"/>
              </w:rPr>
              <w:t>Verificado em 25 de agosto de 2026</w:t>
            </w:r>
          </w:p>
        </w:tc>
      </w:tr>
      <w:tr>
        <w:trPr>
          <w:cantSplit/>
        </w:trPr>
        <w:tc>
          <w:tcPr>
            <w:tcW w:type="dxa" w:w="3745"/>
            <w:shd w:val="clear" w:color="auto" w:fill="F2F5F8"/>
          </w:tcPr>
          <w:p>
            <w:pPr>
              <w:spacing w:after="0"/>
              <w:jc w:val="left"/>
            </w:pPr>
            <w:r/>
            <w:r>
              <w:rPr>
                <w:rFonts w:ascii="Calibri" w:hAnsi="Calibri"/>
                <w:b w:val="0"/>
                <w:color w:val="1A1A1A"/>
                <w:sz w:val="24"/>
              </w:rPr>
              <w:t>Paluch Ł, Pietruski P, Noszczyk B, Kwiek B, Ambroziak M. Intra-rater reproducibility of shear wave elastography in the evaluation of facial skin. Postepy Dermatol Alergol. 37(3):371-376.</w:t>
            </w:r>
          </w:p>
        </w:tc>
        <w:tc>
          <w:tcPr>
            <w:tcW w:type="dxa" w:w="2255"/>
            <w:shd w:val="clear" w:color="auto" w:fill="F2F5F8"/>
          </w:tcPr>
          <w:p>
            <w:pPr>
              <w:spacing w:after="0"/>
              <w:jc w:val="left"/>
            </w:pPr>
            <w:r/>
            <w:r>
              <w:rPr>
                <w:rFonts w:ascii="Calibri" w:hAnsi="Calibri"/>
                <w:b w:val="0"/>
                <w:color w:val="1A1A1A"/>
                <w:sz w:val="24"/>
              </w:rPr>
              <w:t>Estudo transversal, 57 participantes</w:t>
            </w:r>
          </w:p>
        </w:tc>
        <w:tc>
          <w:tcPr>
            <w:tcW w:type="dxa" w:w="3073"/>
            <w:shd w:val="clear" w:color="auto" w:fill="F2F5F8"/>
          </w:tcPr>
          <w:p>
            <w:pPr>
              <w:spacing w:after="0"/>
              <w:jc w:val="left"/>
            </w:pPr>
            <w:r/>
            <w:r>
              <w:rPr>
                <w:rFonts w:ascii="Calibri" w:hAnsi="Calibri"/>
                <w:b w:val="0"/>
                <w:color w:val="1A1A1A"/>
                <w:sz w:val="24"/>
              </w:rPr>
              <w:t>PMID 32792878</w:t>
            </w:r>
          </w:p>
          <w:p>
            <w:pPr>
              <w:spacing w:after="0"/>
              <w:jc w:val="left"/>
            </w:pPr>
            <w:r>
              <w:rPr>
                <w:rFonts w:ascii="Calibri" w:hAnsi="Calibri"/>
                <w:b w:val="0"/>
                <w:color w:val="1A1A1A"/>
                <w:sz w:val="24"/>
              </w:rPr>
              <w:t>DOI 10.5114/ada.2018.81144</w:t>
            </w:r>
          </w:p>
          <w:p>
            <w:pPr>
              <w:spacing w:after="0"/>
              <w:jc w:val="left"/>
            </w:pPr>
            <w:r>
              <w:rPr>
                <w:rFonts w:ascii="Calibri" w:hAnsi="Calibri"/>
                <w:b w:val="0"/>
                <w:color w:val="1A1A1A"/>
                <w:sz w:val="24"/>
              </w:rPr>
              <w:t>Verificado em 25 de agosto de 2026</w:t>
            </w:r>
          </w:p>
        </w:tc>
      </w:tr>
      <w:tr>
        <w:trPr>
          <w:cantSplit/>
        </w:trPr>
        <w:tc>
          <w:tcPr>
            <w:tcW w:type="dxa" w:w="3745"/>
          </w:tcPr>
          <w:p>
            <w:pPr>
              <w:spacing w:after="0"/>
              <w:jc w:val="left"/>
            </w:pPr>
            <w:r/>
            <w:r>
              <w:rPr>
                <w:rFonts w:ascii="Calibri" w:hAnsi="Calibri"/>
                <w:b w:val="0"/>
                <w:color w:val="1A1A1A"/>
                <w:sz w:val="24"/>
              </w:rPr>
              <w:t>Colceriu AA, Ifteni PI, Rogozea L, Leașu FG, Stuckler D. The Impact of Artificial Intelligence on Facial Aesthetic Surgery: A Systematic Review. Aesthet Surg J Open Forum. 2026;8:ojag114.</w:t>
            </w:r>
          </w:p>
        </w:tc>
        <w:tc>
          <w:tcPr>
            <w:tcW w:type="dxa" w:w="2255"/>
          </w:tcPr>
          <w:p>
            <w:pPr>
              <w:spacing w:after="0"/>
              <w:jc w:val="left"/>
            </w:pPr>
            <w:r/>
            <w:r>
              <w:rPr>
                <w:rFonts w:ascii="Calibri" w:hAnsi="Calibri"/>
                <w:b w:val="0"/>
                <w:color w:val="1A1A1A"/>
                <w:sz w:val="24"/>
              </w:rPr>
              <w:t>Revisão sistemática (29 de 1.832 registros)</w:t>
            </w:r>
          </w:p>
        </w:tc>
        <w:tc>
          <w:tcPr>
            <w:tcW w:type="dxa" w:w="3073"/>
          </w:tcPr>
          <w:p>
            <w:pPr>
              <w:spacing w:after="0"/>
              <w:jc w:val="left"/>
            </w:pPr>
            <w:r/>
            <w:r>
              <w:rPr>
                <w:rFonts w:ascii="Calibri" w:hAnsi="Calibri"/>
                <w:b w:val="0"/>
                <w:color w:val="1A1A1A"/>
                <w:sz w:val="24"/>
              </w:rPr>
              <w:t>PMID 42422339</w:t>
            </w:r>
          </w:p>
          <w:p>
            <w:pPr>
              <w:spacing w:after="0"/>
              <w:jc w:val="left"/>
            </w:pPr>
            <w:r>
              <w:rPr>
                <w:rFonts w:ascii="Calibri" w:hAnsi="Calibri"/>
                <w:b w:val="0"/>
                <w:color w:val="1A1A1A"/>
                <w:sz w:val="24"/>
              </w:rPr>
              <w:t>DOI 10.1093/asjof/ojag114</w:t>
            </w:r>
          </w:p>
          <w:p>
            <w:pPr>
              <w:spacing w:after="0"/>
              <w:jc w:val="left"/>
            </w:pPr>
            <w:r>
              <w:rPr>
                <w:rFonts w:ascii="Calibri" w:hAnsi="Calibri"/>
                <w:b w:val="0"/>
                <w:color w:val="1A1A1A"/>
                <w:sz w:val="24"/>
              </w:rPr>
              <w:t>Verificado em 25 de agosto de 2026</w:t>
            </w:r>
          </w:p>
        </w:tc>
      </w:tr>
    </w:tbl>
    <w:p>
      <w:pPr>
        <w:spacing w:after="120"/>
        <w:jc w:val="both"/>
      </w:pPr>
      <w:r>
        <w:rPr>
          <w:rFonts w:ascii="Calibri" w:hAnsi="Calibri"/>
          <w:b w:val="0"/>
          <w:i/>
          <w:color w:val="1A1A1A"/>
          <w:sz w:val="24"/>
        </w:rPr>
        <w:t>Fonte de verificação: PubMed, Biblioteca Nacional de Medicina dos Estados Unidos. A citação de um estudo neste pacote não implica endosso de conduta clínica nem transposição automática de sua conclusão para o escopo odontológico, que depende de análise institucional própria.</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N5-REL-01 · Relatório-piloto de Tecnologias Emergentes · versão 2.0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N5-REL-01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