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POP-N5-07  Nódulo e evento inflamatório tardio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07"/>
        <w:gridCol w:w="5665"/>
      </w:tblGrid>
      <w:tr>
        <w:trPr>
          <w:cantSplit/>
          <w:tblHeader/>
        </w:trPr>
        <w:tc>
          <w:tcPr>
            <w:tcW w:type="dxa" w:w="3407"/>
            <w:shd w:val="clear" w:color="auto" w:fill="143C64"/>
          </w:tcPr>
          <w:p>
            <w:pPr>
              <w:spacing w:after="0"/>
              <w:jc w:val="left"/>
            </w:pPr>
            <w:r/>
            <w:r>
              <w:rPr>
                <w:rFonts w:ascii="Calibri" w:hAnsi="Calibri"/>
                <w:b/>
                <w:color w:val="FFFFFF"/>
                <w:sz w:val="24"/>
              </w:rPr>
              <w:t>Campo</w:t>
            </w:r>
          </w:p>
        </w:tc>
        <w:tc>
          <w:tcPr>
            <w:tcW w:type="dxa" w:w="5665"/>
            <w:shd w:val="clear" w:color="auto" w:fill="143C64"/>
          </w:tcPr>
          <w:p>
            <w:pPr>
              <w:spacing w:after="0"/>
              <w:jc w:val="left"/>
            </w:pPr>
            <w:r/>
            <w:r>
              <w:rPr>
                <w:rFonts w:ascii="Calibri" w:hAnsi="Calibri"/>
                <w:b/>
                <w:color w:val="FFFFFF"/>
                <w:sz w:val="24"/>
              </w:rPr>
              <w:t>Conteúdo</w:t>
            </w:r>
          </w:p>
        </w:tc>
      </w:tr>
      <w:tr>
        <w:trPr>
          <w:cantSplit/>
        </w:trPr>
        <w:tc>
          <w:tcPr>
            <w:tcW w:type="dxa" w:w="3407"/>
          </w:tcPr>
          <w:p>
            <w:pPr>
              <w:spacing w:after="0"/>
              <w:jc w:val="left"/>
            </w:pPr>
            <w:r/>
            <w:r>
              <w:rPr>
                <w:rFonts w:ascii="Calibri" w:hAnsi="Calibri"/>
                <w:b/>
                <w:color w:val="1A1A1A"/>
                <w:sz w:val="24"/>
              </w:rPr>
              <w:t>1. Identificação</w:t>
            </w:r>
          </w:p>
        </w:tc>
        <w:tc>
          <w:tcPr>
            <w:tcW w:type="dxa" w:w="5665"/>
          </w:tcPr>
          <w:p>
            <w:pPr>
              <w:spacing w:after="0"/>
              <w:jc w:val="left"/>
            </w:pPr>
            <w:r/>
            <w:r>
              <w:rPr>
                <w:rFonts w:ascii="Calibri" w:hAnsi="Calibri"/>
                <w:b w:val="0"/>
                <w:color w:val="1A1A1A"/>
                <w:sz w:val="24"/>
              </w:rPr>
              <w:t>Código POP-N5-07. Versão 1.0. Emissão em 26 de agosto de 2026. Próxima revisão em até doze meses. Onda de produção 2. Situação de escopo: Livre. Responsável técnico pela redação: Campo de preenchimento pelo serviço.</w:t>
            </w:r>
          </w:p>
        </w:tc>
      </w:tr>
      <w:tr>
        <w:trPr>
          <w:cantSplit/>
        </w:trPr>
        <w:tc>
          <w:tcPr>
            <w:tcW w:type="dxa" w:w="3407"/>
            <w:shd w:val="clear" w:color="auto" w:fill="F2F5F8"/>
          </w:tcPr>
          <w:p>
            <w:pPr>
              <w:spacing w:after="0"/>
              <w:jc w:val="left"/>
            </w:pPr>
            <w:r/>
            <w:r>
              <w:rPr>
                <w:rFonts w:ascii="Calibri" w:hAnsi="Calibri"/>
                <w:b/>
                <w:color w:val="1A1A1A"/>
                <w:sz w:val="24"/>
              </w:rPr>
              <w:t>2. Objetivo e alcance</w:t>
            </w:r>
          </w:p>
        </w:tc>
        <w:tc>
          <w:tcPr>
            <w:tcW w:type="dxa" w:w="5665"/>
            <w:shd w:val="clear" w:color="auto" w:fill="F2F5F8"/>
          </w:tcPr>
          <w:p>
            <w:pPr>
              <w:spacing w:after="0"/>
              <w:jc w:val="left"/>
            </w:pPr>
            <w:r/>
            <w:r>
              <w:rPr>
                <w:rFonts w:ascii="Calibri" w:hAnsi="Calibri"/>
                <w:b w:val="0"/>
                <w:color w:val="1A1A1A"/>
                <w:sz w:val="24"/>
              </w:rPr>
              <w:t>Padronizar a avaliação, a documentação e o encaminhamento de nódulos e eventos inflamatórios surgidos após procedimento em Harmonização Orofacial, incluindo os de aparecimento tardio. Não define conduta terapêutica específica, que depende da hipótese, do produto e da competência profissional.</w:t>
            </w:r>
          </w:p>
        </w:tc>
      </w:tr>
      <w:tr>
        <w:trPr>
          <w:cantSplit/>
        </w:trPr>
        <w:tc>
          <w:tcPr>
            <w:tcW w:type="dxa" w:w="3407"/>
          </w:tcPr>
          <w:p>
            <w:pPr>
              <w:spacing w:after="0"/>
              <w:jc w:val="left"/>
            </w:pPr>
            <w:r/>
            <w:r>
              <w:rPr>
                <w:rFonts w:ascii="Calibri" w:hAnsi="Calibri"/>
                <w:b/>
                <w:color w:val="1A1A1A"/>
                <w:sz w:val="24"/>
              </w:rPr>
              <w:t>3. Situação regulatória</w:t>
            </w:r>
          </w:p>
        </w:tc>
        <w:tc>
          <w:tcPr>
            <w:tcW w:type="dxa" w:w="5665"/>
          </w:tcPr>
          <w:p>
            <w:pPr>
              <w:spacing w:after="0"/>
              <w:jc w:val="left"/>
            </w:pPr>
            <w:r/>
            <w:r>
              <w:rPr>
                <w:rFonts w:ascii="Calibri" w:hAnsi="Calibri"/>
                <w:b w:val="0"/>
                <w:color w:val="1A1A1A"/>
                <w:sz w:val="24"/>
              </w:rPr>
              <w:t>RDC Anvisa nº 1.002/2025, art. 110. Eventual conduta terapêutica deve estar prevista em protocolo do serviço, com fonte declarada.</w:t>
            </w:r>
          </w:p>
        </w:tc>
      </w:tr>
      <w:tr>
        <w:trPr>
          <w:cantSplit/>
        </w:trPr>
        <w:tc>
          <w:tcPr>
            <w:tcW w:type="dxa" w:w="3407"/>
            <w:shd w:val="clear" w:color="auto" w:fill="F2F5F8"/>
          </w:tcPr>
          <w:p>
            <w:pPr>
              <w:spacing w:after="0"/>
              <w:jc w:val="left"/>
            </w:pPr>
            <w:r/>
            <w:r>
              <w:rPr>
                <w:rFonts w:ascii="Calibri" w:hAnsi="Calibri"/>
                <w:b/>
                <w:color w:val="1A1A1A"/>
                <w:sz w:val="24"/>
              </w:rPr>
              <w:t>4. Competência exigida</w:t>
            </w:r>
          </w:p>
        </w:tc>
        <w:tc>
          <w:tcPr>
            <w:tcW w:type="dxa" w:w="5665"/>
            <w:shd w:val="clear" w:color="auto" w:fill="F2F5F8"/>
          </w:tcPr>
          <w:p>
            <w:pPr>
              <w:spacing w:after="0"/>
              <w:jc w:val="left"/>
            </w:pPr>
            <w:r/>
            <w:r>
              <w:rPr>
                <w:rFonts w:ascii="Calibri" w:hAnsi="Calibri"/>
                <w:b w:val="0"/>
                <w:color w:val="1A1A1A"/>
                <w:sz w:val="24"/>
              </w:rPr>
              <w:t>Cirurgião-dentista habilitado. Casos com suspeita de processo infeccioso, sistêmico ou de etiologia indeterminada devem ser conduzidos com limiar baixo para encaminhamento.</w:t>
            </w:r>
          </w:p>
        </w:tc>
      </w:tr>
      <w:tr>
        <w:trPr>
          <w:cantSplit/>
        </w:trPr>
        <w:tc>
          <w:tcPr>
            <w:tcW w:type="dxa" w:w="3407"/>
          </w:tcPr>
          <w:p>
            <w:pPr>
              <w:spacing w:after="0"/>
              <w:jc w:val="left"/>
            </w:pPr>
            <w:r/>
            <w:r>
              <w:rPr>
                <w:rFonts w:ascii="Calibri" w:hAnsi="Calibri"/>
                <w:b/>
                <w:color w:val="1A1A1A"/>
                <w:sz w:val="24"/>
              </w:rPr>
              <w:t>5. Materiais e equipamentos</w:t>
            </w:r>
          </w:p>
        </w:tc>
        <w:tc>
          <w:tcPr>
            <w:tcW w:type="dxa" w:w="5665"/>
          </w:tcPr>
          <w:p>
            <w:pPr>
              <w:spacing w:after="0"/>
              <w:jc w:val="left"/>
            </w:pPr>
            <w:r/>
            <w:r>
              <w:rPr>
                <w:rFonts w:ascii="Calibri" w:hAnsi="Calibri"/>
                <w:b w:val="0"/>
                <w:color w:val="1A1A1A"/>
                <w:sz w:val="24"/>
              </w:rPr>
              <w:t>Prontuário com histórico de produtos aplicados; equipamento de documentação fotográfica; instrumento de medição; formulário de evolução.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Recuperação do registro do procedimento de origem: produto, lote, região, volume e data.</w:t>
      </w:r>
    </w:p>
    <w:p>
      <w:pPr>
        <w:pStyle w:val="ListBullet"/>
        <w:spacing w:after="60"/>
        <w:ind w:left="397"/>
        <w:jc w:val="both"/>
      </w:pPr>
      <w:r>
        <w:rPr>
          <w:rFonts w:ascii="Calibri" w:hAnsi="Calibri"/>
          <w:color w:val="1A1A1A"/>
          <w:sz w:val="24"/>
        </w:rPr>
        <w:t>☐  Tempo decorrido entre o procedimento e o aparecimento do achado.</w:t>
      </w:r>
    </w:p>
    <w:p>
      <w:pPr>
        <w:pStyle w:val="ListBullet"/>
        <w:spacing w:after="60"/>
        <w:ind w:left="397"/>
        <w:jc w:val="both"/>
      </w:pPr>
      <w:r>
        <w:rPr>
          <w:rFonts w:ascii="Calibri" w:hAnsi="Calibri"/>
          <w:color w:val="1A1A1A"/>
          <w:sz w:val="24"/>
        </w:rPr>
        <w:t>☐  Presença de sinais inflamatórios, sistêmicos ou infecciosos associados.</w:t>
      </w:r>
    </w:p>
    <w:p>
      <w:pPr>
        <w:pStyle w:val="ListBullet"/>
        <w:spacing w:after="60"/>
        <w:ind w:left="397"/>
        <w:jc w:val="both"/>
      </w:pPr>
      <w:r>
        <w:rPr>
          <w:rFonts w:ascii="Calibri" w:hAnsi="Calibri"/>
          <w:color w:val="1A1A1A"/>
          <w:sz w:val="24"/>
        </w:rPr>
        <w:t>☐  Histórico de procedimentos realizados por outros profissionais na mesma região.</w:t>
      </w:r>
    </w:p>
    <w:p>
      <w:pPr>
        <w:pStyle w:val="ListBullet"/>
        <w:spacing w:after="60"/>
        <w:ind w:left="397"/>
        <w:jc w:val="both"/>
      </w:pPr>
      <w:r>
        <w:rPr>
          <w:rFonts w:ascii="Calibri" w:hAnsi="Calibri"/>
          <w:color w:val="1A1A1A"/>
          <w:sz w:val="24"/>
        </w:rPr>
        <w:t>☐  Eventos intercorrentes recentes, como infecção, procedimento odontológico ou vacinação, registrados como informação e não como conclusão causal.</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Avaliar queixa, histórico, tempo de evolução e características do achado.</w:t>
      </w:r>
    </w:p>
    <w:p>
      <w:pPr>
        <w:pStyle w:val="ListNumber"/>
        <w:spacing w:after="60"/>
        <w:ind w:left="397"/>
        <w:jc w:val="both"/>
      </w:pPr>
      <w:r>
        <w:rPr>
          <w:rFonts w:ascii="Calibri" w:hAnsi="Calibri"/>
          <w:color w:val="1A1A1A"/>
          <w:sz w:val="24"/>
        </w:rPr>
        <w:t>Registrar localização, dimensões, consistência, mobilidade, sensibilidade e sinais inflamatórios.</w:t>
      </w:r>
    </w:p>
    <w:p>
      <w:pPr>
        <w:pStyle w:val="ListNumber"/>
        <w:spacing w:after="60"/>
        <w:ind w:left="397"/>
        <w:jc w:val="both"/>
      </w:pPr>
      <w:r>
        <w:rPr>
          <w:rFonts w:ascii="Calibri" w:hAnsi="Calibri"/>
          <w:color w:val="1A1A1A"/>
          <w:sz w:val="24"/>
        </w:rPr>
        <w:t>Documentar por fotografia padronizada, conforme o POP-N5-12.</w:t>
      </w:r>
    </w:p>
    <w:p>
      <w:pPr>
        <w:pStyle w:val="ListNumber"/>
        <w:spacing w:after="60"/>
        <w:ind w:left="397"/>
        <w:jc w:val="both"/>
      </w:pPr>
      <w:r>
        <w:rPr>
          <w:rFonts w:ascii="Calibri" w:hAnsi="Calibri"/>
          <w:color w:val="1A1A1A"/>
          <w:sz w:val="24"/>
        </w:rPr>
        <w:t>Definir hipótese e conduta: observação com reavaliação programada, tratamento conforme protocolo do serviço, ou encaminhamento.</w:t>
      </w:r>
    </w:p>
    <w:p>
      <w:pPr>
        <w:pStyle w:val="ListNumber"/>
        <w:spacing w:after="60"/>
        <w:ind w:left="397"/>
        <w:jc w:val="both"/>
      </w:pPr>
      <w:r>
        <w:rPr>
          <w:rFonts w:ascii="Calibri" w:hAnsi="Calibri"/>
          <w:color w:val="1A1A1A"/>
          <w:sz w:val="24"/>
        </w:rPr>
        <w:t>Explicar ao paciente a hipótese, a conduta e o prazo esperado de evolução.</w:t>
      </w:r>
    </w:p>
    <w:p>
      <w:pPr>
        <w:pStyle w:val="ListNumber"/>
        <w:spacing w:after="60"/>
        <w:ind w:left="397"/>
        <w:jc w:val="both"/>
      </w:pPr>
      <w:r>
        <w:rPr>
          <w:rFonts w:ascii="Calibri" w:hAnsi="Calibri"/>
          <w:color w:val="1A1A1A"/>
          <w:sz w:val="24"/>
        </w:rPr>
        <w:t>Programar reavaliação com data definida, e não com retorno condicionado à piora.</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Sinais sistêmicos, febre ou secreção.</w:t>
      </w:r>
    </w:p>
    <w:p>
      <w:pPr>
        <w:pStyle w:val="ListBullet"/>
        <w:spacing w:after="60"/>
        <w:ind w:left="397"/>
        <w:jc w:val="both"/>
      </w:pPr>
      <w:r>
        <w:rPr>
          <w:rFonts w:ascii="Calibri" w:hAnsi="Calibri"/>
          <w:color w:val="1A1A1A"/>
          <w:sz w:val="24"/>
        </w:rPr>
        <w:t>Crescimento rápido ou progressão apesar da conduta.</w:t>
      </w:r>
    </w:p>
    <w:p>
      <w:pPr>
        <w:pStyle w:val="ListBullet"/>
        <w:spacing w:after="60"/>
        <w:ind w:left="397"/>
        <w:jc w:val="both"/>
      </w:pPr>
      <w:r>
        <w:rPr>
          <w:rFonts w:ascii="Calibri" w:hAnsi="Calibri"/>
          <w:color w:val="1A1A1A"/>
          <w:sz w:val="24"/>
        </w:rPr>
        <w:t>Dor intensa desproporcional ao achado.</w:t>
      </w:r>
    </w:p>
    <w:p>
      <w:pPr>
        <w:pStyle w:val="ListBullet"/>
        <w:spacing w:after="60"/>
        <w:ind w:left="397"/>
        <w:jc w:val="both"/>
      </w:pPr>
      <w:r>
        <w:rPr>
          <w:rFonts w:ascii="Calibri" w:hAnsi="Calibri"/>
          <w:color w:val="1A1A1A"/>
          <w:sz w:val="24"/>
        </w:rPr>
        <w:t>Achado em região previamente tratada com produto não identificado.</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Suspeita de infecção segue o POP-N5-08. Deterioração clínica ou sinal sistêmico exige encaminhamento. Ausência de resposta no prazo previsto é critério de reavaliação da hipótese, e não de repetição da mesma conduta.</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Produto de origem, lote, região e data do procedimento inicial, quando identificáveis.</w:t>
      </w:r>
    </w:p>
    <w:p>
      <w:pPr>
        <w:pStyle w:val="ListBullet"/>
        <w:spacing w:after="60"/>
        <w:ind w:left="397"/>
        <w:jc w:val="both"/>
      </w:pPr>
      <w:r>
        <w:rPr>
          <w:rFonts w:ascii="Calibri" w:hAnsi="Calibri"/>
          <w:color w:val="1A1A1A"/>
          <w:sz w:val="24"/>
        </w:rPr>
        <w:t>Descrição objetiva do achado, com medidas e fotografia.</w:t>
      </w:r>
    </w:p>
    <w:p>
      <w:pPr>
        <w:pStyle w:val="ListBullet"/>
        <w:spacing w:after="60"/>
        <w:ind w:left="397"/>
        <w:jc w:val="both"/>
      </w:pPr>
      <w:r>
        <w:rPr>
          <w:rFonts w:ascii="Calibri" w:hAnsi="Calibri"/>
          <w:color w:val="1A1A1A"/>
          <w:sz w:val="24"/>
        </w:rPr>
        <w:t>Hipótese, conduta, justificativa e prazo de reavaliação.</w:t>
      </w:r>
    </w:p>
    <w:p>
      <w:pPr>
        <w:pStyle w:val="ListBullet"/>
        <w:spacing w:after="60"/>
        <w:ind w:left="397"/>
        <w:jc w:val="both"/>
      </w:pPr>
      <w:r>
        <w:rPr>
          <w:rFonts w:ascii="Calibri" w:hAnsi="Calibri"/>
          <w:color w:val="1A1A1A"/>
          <w:sz w:val="24"/>
        </w:rPr>
        <w:t>Evolução em cada reavaliação.</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Manter seguimento documentado até a resolução ou até a definição de conduta definitiva. Avaliar notificação conforme o POP-N5-17, especialmente quando houver suspeita de relação com o produto.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Instruções de uso do produto de origem. Documentos 07 e 08 do pacote. Protocolo terapêutico do serviço, quando houver.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POP-N5-07 · Nódulo e evento inflamatório tardio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POP-N5-07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