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INSTRUMENTO METODOLÓGICO ÚNICO</w:t>
      </w:r>
    </w:p>
    <w:p>
      <w:pPr>
        <w:spacing w:after="160"/>
        <w:jc w:val="center"/>
      </w:pPr>
      <w:r>
        <w:rPr>
          <w:rFonts w:ascii="Calibri" w:hAnsi="Calibri"/>
          <w:b/>
          <w:color w:val="143C64"/>
          <w:sz w:val="48"/>
        </w:rPr>
        <w:t>Matriz de Avaliação Tecnológica</w:t>
      </w:r>
    </w:p>
    <w:p>
      <w:pPr>
        <w:spacing w:after="720"/>
        <w:jc w:val="center"/>
      </w:pPr>
      <w:r>
        <w:rPr>
          <w:rFonts w:ascii="Calibri" w:hAnsi="Calibri"/>
          <w:b w:val="0"/>
          <w:i w:val="0"/>
          <w:color w:val="444A52"/>
          <w:sz w:val="26"/>
        </w:rPr>
        <w:t>Método obrigatório em oito dimensões para toda tecnologia submetida à análise do Núcleo 5, com rubrica de classificação, regra de conclusão e formulário de aplicação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31"/>
        <w:gridCol w:w="5341"/>
      </w:tblGrid>
      <w:tr>
        <w:trPr>
          <w:cantSplit/>
          <w:tblHeader/>
        </w:trPr>
        <w:tc>
          <w:tcPr>
            <w:tcW w:type="dxa" w:w="3731"/>
            <w:shd w:val="clear" w:color="auto" w:fill="143C64"/>
          </w:tcPr>
          <w:p>
            <w:pPr>
              <w:spacing w:after="0"/>
              <w:jc w:val="left"/>
            </w:pPr>
            <w:r/>
            <w:r>
              <w:rPr>
                <w:rFonts w:ascii="Calibri" w:hAnsi="Calibri"/>
                <w:b/>
                <w:color w:val="FFFFFF"/>
                <w:sz w:val="24"/>
              </w:rPr>
              <w:t>Identificação do documento</w:t>
            </w:r>
          </w:p>
        </w:tc>
        <w:tc>
          <w:tcPr>
            <w:tcW w:type="dxa" w:w="5341"/>
            <w:shd w:val="clear" w:color="auto" w:fill="143C64"/>
          </w:tcPr>
          <w:p>
            <w:pPr>
              <w:spacing w:after="0"/>
              <w:jc w:val="left"/>
            </w:pPr>
            <w:r/>
            <w:r>
              <w:rPr>
                <w:rFonts w:ascii="Calibri" w:hAnsi="Calibri"/>
                <w:b/>
                <w:color w:val="FFFFFF"/>
                <w:sz w:val="24"/>
              </w:rPr>
              <w:t>Registro</w:t>
            </w:r>
          </w:p>
        </w:tc>
      </w:tr>
      <w:tr>
        <w:trPr>
          <w:cantSplit/>
        </w:trPr>
        <w:tc>
          <w:tcPr>
            <w:tcW w:type="dxa" w:w="3731"/>
          </w:tcPr>
          <w:p>
            <w:pPr>
              <w:spacing w:after="0"/>
              <w:jc w:val="left"/>
            </w:pPr>
            <w:r/>
            <w:r>
              <w:rPr>
                <w:rFonts w:ascii="Calibri" w:hAnsi="Calibri"/>
                <w:b w:val="0"/>
                <w:color w:val="1A1A1A"/>
                <w:sz w:val="24"/>
              </w:rPr>
              <w:t>Código de controle</w:t>
            </w:r>
          </w:p>
        </w:tc>
        <w:tc>
          <w:tcPr>
            <w:tcW w:type="dxa" w:w="5341"/>
          </w:tcPr>
          <w:p>
            <w:pPr>
              <w:spacing w:after="0"/>
              <w:jc w:val="left"/>
            </w:pPr>
            <w:r/>
            <w:r>
              <w:rPr>
                <w:rFonts w:ascii="Calibri" w:hAnsi="Calibri"/>
                <w:b w:val="0"/>
                <w:color w:val="1A1A1A"/>
                <w:sz w:val="24"/>
              </w:rPr>
              <w:t>N5-MATR-01</w:t>
            </w:r>
          </w:p>
        </w:tc>
      </w:tr>
      <w:tr>
        <w:trPr>
          <w:cantSplit/>
        </w:trPr>
        <w:tc>
          <w:tcPr>
            <w:tcW w:type="dxa" w:w="3731"/>
            <w:shd w:val="clear" w:color="auto" w:fill="F2F5F8"/>
          </w:tcPr>
          <w:p>
            <w:pPr>
              <w:spacing w:after="0"/>
              <w:jc w:val="left"/>
            </w:pPr>
            <w:r/>
            <w:r>
              <w:rPr>
                <w:rFonts w:ascii="Calibri" w:hAnsi="Calibri"/>
                <w:b w:val="0"/>
                <w:color w:val="1A1A1A"/>
                <w:sz w:val="24"/>
              </w:rPr>
              <w:t>Versão</w:t>
            </w:r>
          </w:p>
        </w:tc>
        <w:tc>
          <w:tcPr>
            <w:tcW w:type="dxa" w:w="5341"/>
            <w:shd w:val="clear" w:color="auto" w:fill="F2F5F8"/>
          </w:tcPr>
          <w:p>
            <w:pPr>
              <w:spacing w:after="0"/>
              <w:jc w:val="left"/>
            </w:pPr>
            <w:r/>
            <w:r>
              <w:rPr>
                <w:rFonts w:ascii="Calibri" w:hAnsi="Calibri"/>
                <w:b w:val="0"/>
                <w:color w:val="1A1A1A"/>
                <w:sz w:val="24"/>
              </w:rPr>
              <w:t>2.0</w:t>
            </w:r>
          </w:p>
        </w:tc>
      </w:tr>
      <w:tr>
        <w:trPr>
          <w:cantSplit/>
        </w:trPr>
        <w:tc>
          <w:tcPr>
            <w:tcW w:type="dxa" w:w="3731"/>
          </w:tcPr>
          <w:p>
            <w:pPr>
              <w:spacing w:after="0"/>
              <w:jc w:val="left"/>
            </w:pPr>
            <w:r/>
            <w:r>
              <w:rPr>
                <w:rFonts w:ascii="Calibri" w:hAnsi="Calibri"/>
                <w:b w:val="0"/>
                <w:color w:val="1A1A1A"/>
                <w:sz w:val="24"/>
              </w:rPr>
              <w:t>Data de emissão</w:t>
            </w:r>
          </w:p>
        </w:tc>
        <w:tc>
          <w:tcPr>
            <w:tcW w:type="dxa" w:w="5341"/>
          </w:tcPr>
          <w:p>
            <w:pPr>
              <w:spacing w:after="0"/>
              <w:jc w:val="left"/>
            </w:pPr>
            <w:r/>
            <w:r>
              <w:rPr>
                <w:rFonts w:ascii="Calibri" w:hAnsi="Calibri"/>
                <w:b w:val="0"/>
                <w:color w:val="1A1A1A"/>
                <w:sz w:val="24"/>
              </w:rPr>
              <w:t>25 de agosto de 2026</w:t>
            </w:r>
          </w:p>
        </w:tc>
      </w:tr>
      <w:tr>
        <w:trPr>
          <w:cantSplit/>
        </w:trPr>
        <w:tc>
          <w:tcPr>
            <w:tcW w:type="dxa" w:w="3731"/>
            <w:shd w:val="clear" w:color="auto" w:fill="F2F5F8"/>
          </w:tcPr>
          <w:p>
            <w:pPr>
              <w:spacing w:after="0"/>
              <w:jc w:val="left"/>
            </w:pPr>
            <w:r/>
            <w:r>
              <w:rPr>
                <w:rFonts w:ascii="Calibri" w:hAnsi="Calibri"/>
                <w:b w:val="0"/>
                <w:color w:val="1A1A1A"/>
                <w:sz w:val="24"/>
              </w:rPr>
              <w:t>Situação</w:t>
            </w:r>
          </w:p>
        </w:tc>
        <w:tc>
          <w:tcPr>
            <w:tcW w:type="dxa" w:w="5341"/>
            <w:shd w:val="clear" w:color="auto" w:fill="F2F5F8"/>
          </w:tcPr>
          <w:p>
            <w:pPr>
              <w:spacing w:after="0"/>
              <w:jc w:val="left"/>
            </w:pPr>
            <w:r/>
            <w:r>
              <w:rPr>
                <w:rFonts w:ascii="Calibri" w:hAnsi="Calibri"/>
                <w:b w:val="0"/>
                <w:color w:val="1A1A1A"/>
                <w:sz w:val="24"/>
              </w:rPr>
              <w:t>Consolidado para deliberação do colegiado</w:t>
            </w:r>
          </w:p>
        </w:tc>
      </w:tr>
      <w:tr>
        <w:trPr>
          <w:cantSplit/>
        </w:trPr>
        <w:tc>
          <w:tcPr>
            <w:tcW w:type="dxa" w:w="3731"/>
          </w:tcPr>
          <w:p>
            <w:pPr>
              <w:spacing w:after="0"/>
              <w:jc w:val="left"/>
            </w:pPr>
            <w:r/>
            <w:r>
              <w:rPr>
                <w:rFonts w:ascii="Calibri" w:hAnsi="Calibri"/>
                <w:b w:val="0"/>
                <w:color w:val="1A1A1A"/>
                <w:sz w:val="24"/>
              </w:rPr>
              <w:t>Elaboração</w:t>
            </w:r>
          </w:p>
        </w:tc>
        <w:tc>
          <w:tcPr>
            <w:tcW w:type="dxa" w:w="5341"/>
          </w:tcPr>
          <w:p>
            <w:pPr>
              <w:spacing w:after="0"/>
              <w:jc w:val="left"/>
            </w:pPr>
            <w:r/>
            <w:r>
              <w:rPr>
                <w:rFonts w:ascii="Calibri" w:hAnsi="Calibri"/>
                <w:b w:val="0"/>
                <w:color w:val="1A1A1A"/>
                <w:sz w:val="24"/>
              </w:rPr>
              <w:t>Núcleo 5 · Inovação, Tecnologias e Segurança Clínica</w:t>
            </w:r>
          </w:p>
        </w:tc>
      </w:tr>
      <w:tr>
        <w:trPr>
          <w:cantSplit/>
        </w:trPr>
        <w:tc>
          <w:tcPr>
            <w:tcW w:type="dxa" w:w="3731"/>
            <w:shd w:val="clear" w:color="auto" w:fill="F2F5F8"/>
          </w:tcPr>
          <w:p>
            <w:pPr>
              <w:spacing w:after="0"/>
              <w:jc w:val="left"/>
            </w:pPr>
            <w:r/>
            <w:r>
              <w:rPr>
                <w:rFonts w:ascii="Calibri" w:hAnsi="Calibri"/>
                <w:b w:val="0"/>
                <w:color w:val="1A1A1A"/>
                <w:sz w:val="24"/>
              </w:rPr>
              <w:t>Natureza</w:t>
            </w:r>
          </w:p>
        </w:tc>
        <w:tc>
          <w:tcPr>
            <w:tcW w:type="dxa" w:w="5341"/>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731"/>
          </w:tcPr>
          <w:p>
            <w:pPr>
              <w:spacing w:after="0"/>
              <w:jc w:val="left"/>
            </w:pPr>
            <w:r/>
            <w:r>
              <w:rPr>
                <w:rFonts w:ascii="Calibri" w:hAnsi="Calibri"/>
                <w:b w:val="0"/>
                <w:color w:val="1A1A1A"/>
                <w:sz w:val="24"/>
              </w:rPr>
              <w:t>Condição de publicação</w:t>
            </w:r>
          </w:p>
        </w:tc>
        <w:tc>
          <w:tcPr>
            <w:tcW w:type="dxa" w:w="5341"/>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Finalidade e natureza</w:t>
      </w:r>
    </w:p>
    <w:p>
      <w:pPr>
        <w:spacing w:after="120"/>
        <w:jc w:val="both"/>
      </w:pPr>
      <w:r>
        <w:rPr>
          <w:rFonts w:ascii="Calibri" w:hAnsi="Calibri"/>
          <w:b w:val="0"/>
          <w:i w:val="0"/>
          <w:color w:val="1A1A1A"/>
          <w:sz w:val="24"/>
        </w:rPr>
        <w:t>Esta matriz define o método comum de avaliação de tecnologias no âmbito do Núcleo 5. Sua função é tornar a avaliação explicável, repetível e auditável, de modo que a conclusão possa ser reconstruída por quem não participou da análise. A matriz não substitui análise clínica individual nem decisão regulatória, e não homologa produtos.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Decisão de harmonização registrada</w:t>
            </w:r>
          </w:p>
          <w:p>
            <w:pPr>
              <w:spacing w:after="0"/>
              <w:jc w:val="both"/>
            </w:pPr>
            <w:r>
              <w:rPr>
                <w:rFonts w:ascii="Calibri" w:hAnsi="Calibri"/>
                <w:color w:val="1A1A1A"/>
                <w:sz w:val="24"/>
              </w:rPr>
              <w:t>Materiais anteriores do Núcleo trabalharam com seis dimensões. Esta versão adota oito, acrescentando capacitação e infraestrutura e governança de dados. A razão é prática e verificável no próprio pacote: nas tecnologias de energia, a maior parte do risco reside no treinamento e nos recursos de contingência, não no equipamento em si; e nas tecnologias de imagem e software, o risco material é de tratamento de dados. Uma grade que não faz essas duas perguntas pode classificar como aceitável uma adoção que não é. Toda versão anterior com seis dimensões deve ser lida como superada por esta.</w:t>
            </w:r>
          </w:p>
        </w:tc>
      </w:tr>
    </w:tbl>
    <w:p>
      <w:pPr>
        <w:spacing w:after="80"/>
      </w:pPr>
    </w:p>
    <w:p>
      <w:pPr>
        <w:keepNext/>
        <w:spacing w:before="240" w:after="80"/>
        <w:jc w:val="left"/>
      </w:pPr>
      <w:r>
        <w:rPr>
          <w:rFonts w:ascii="Calibri" w:hAnsi="Calibri"/>
          <w:b/>
          <w:color w:val="143C64"/>
          <w:sz w:val="26"/>
        </w:rPr>
        <w:t>1.1  Legenda de sustentação</w:t>
      </w:r>
    </w:p>
    <w:p>
      <w:pPr>
        <w:spacing w:after="120"/>
        <w:jc w:val="both"/>
      </w:pPr>
      <w:r>
        <w:rPr>
          <w:rFonts w:ascii="Calibri" w:hAnsi="Calibri"/>
          <w:b w:val="0"/>
          <w:i w:val="0"/>
          <w:color w:val="1A1A1A"/>
          <w:sz w:val="24"/>
        </w:rPr>
        <w:t>Toda afirmação relevante deste documento está classificada em uma das quatro categorias abaixo. A classificação é obrigatória e existe para impedir que recomendação técnica seja lida como obrigação normativa, e que lacuna de dados seja lida como ausência de risco.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228"/>
        <w:gridCol w:w="4844"/>
      </w:tblGrid>
      <w:tr>
        <w:trPr>
          <w:cantSplit/>
          <w:tblHeader/>
        </w:trPr>
        <w:tc>
          <w:tcPr>
            <w:tcW w:type="dxa" w:w="4228"/>
            <w:shd w:val="clear" w:color="auto" w:fill="143C64"/>
          </w:tcPr>
          <w:p>
            <w:pPr>
              <w:spacing w:after="0"/>
              <w:jc w:val="left"/>
            </w:pPr>
            <w:r/>
            <w:r>
              <w:rPr>
                <w:rFonts w:ascii="Calibri" w:hAnsi="Calibri"/>
                <w:b/>
                <w:color w:val="FFFFFF"/>
                <w:sz w:val="24"/>
              </w:rPr>
              <w:t>Categoria</w:t>
            </w:r>
          </w:p>
        </w:tc>
        <w:tc>
          <w:tcPr>
            <w:tcW w:type="dxa" w:w="4844"/>
            <w:shd w:val="clear" w:color="auto" w:fill="143C64"/>
          </w:tcPr>
          <w:p>
            <w:pPr>
              <w:spacing w:after="0"/>
              <w:jc w:val="left"/>
            </w:pPr>
            <w:r/>
            <w:r>
              <w:rPr>
                <w:rFonts w:ascii="Calibri" w:hAnsi="Calibri"/>
                <w:b/>
                <w:color w:val="FFFFFF"/>
                <w:sz w:val="24"/>
              </w:rPr>
              <w:t>Definição</w:t>
            </w:r>
          </w:p>
        </w:tc>
      </w:tr>
      <w:tr>
        <w:trPr>
          <w:cantSplit/>
        </w:trPr>
        <w:tc>
          <w:tcPr>
            <w:tcW w:type="dxa" w:w="4228"/>
          </w:tcPr>
          <w:p>
            <w:pPr>
              <w:spacing w:after="0"/>
              <w:jc w:val="left"/>
            </w:pPr>
            <w:r/>
            <w:r>
              <w:rPr>
                <w:rFonts w:ascii="Calibri" w:hAnsi="Calibri"/>
                <w:b/>
                <w:color w:val="1A1A1A"/>
                <w:sz w:val="24"/>
              </w:rPr>
              <w:t>EXIGÊNCIA NORMATIVA</w:t>
            </w:r>
          </w:p>
        </w:tc>
        <w:tc>
          <w:tcPr>
            <w:tcW w:type="dxa" w:w="4844"/>
          </w:tcPr>
          <w:p>
            <w:pPr>
              <w:spacing w:after="0"/>
              <w:jc w:val="left"/>
            </w:pPr>
            <w:r/>
            <w:r>
              <w:rPr>
                <w:rFonts w:ascii="Calibri" w:hAnsi="Calibri"/>
                <w:b w:val="0"/>
                <w:color w:val="1A1A1A"/>
                <w:sz w:val="24"/>
              </w:rPr>
              <w:t>Obrigação derivada de ato vigente, com fonte identificável e data de consulta registrada.</w:t>
            </w:r>
          </w:p>
        </w:tc>
      </w:tr>
      <w:tr>
        <w:trPr>
          <w:cantSplit/>
        </w:trPr>
        <w:tc>
          <w:tcPr>
            <w:tcW w:type="dxa" w:w="4228"/>
            <w:shd w:val="clear" w:color="auto" w:fill="F2F5F8"/>
          </w:tcPr>
          <w:p>
            <w:pPr>
              <w:spacing w:after="0"/>
              <w:jc w:val="left"/>
            </w:pPr>
            <w:r/>
            <w:r>
              <w:rPr>
                <w:rFonts w:ascii="Calibri" w:hAnsi="Calibri"/>
                <w:b/>
                <w:color w:val="1A1A1A"/>
                <w:sz w:val="24"/>
              </w:rPr>
              <w:t>EVIDÊNCIA CIENTÍFICA</w:t>
            </w:r>
          </w:p>
        </w:tc>
        <w:tc>
          <w:tcPr>
            <w:tcW w:type="dxa" w:w="4844"/>
            <w:shd w:val="clear" w:color="auto" w:fill="F2F5F8"/>
          </w:tcPr>
          <w:p>
            <w:pPr>
              <w:spacing w:after="0"/>
              <w:jc w:val="left"/>
            </w:pPr>
            <w:r/>
            <w:r>
              <w:rPr>
                <w:rFonts w:ascii="Calibri" w:hAnsi="Calibri"/>
                <w:b w:val="0"/>
                <w:color w:val="1A1A1A"/>
                <w:sz w:val="24"/>
              </w:rPr>
              <w:t>Conclusão compatível com estudo indexado, apresentada com o desenho do estudo e suas limitações.</w:t>
            </w:r>
          </w:p>
        </w:tc>
      </w:tr>
      <w:tr>
        <w:trPr>
          <w:cantSplit/>
        </w:trPr>
        <w:tc>
          <w:tcPr>
            <w:tcW w:type="dxa" w:w="4228"/>
          </w:tcPr>
          <w:p>
            <w:pPr>
              <w:spacing w:after="0"/>
              <w:jc w:val="left"/>
            </w:pPr>
            <w:r/>
            <w:r>
              <w:rPr>
                <w:rFonts w:ascii="Calibri" w:hAnsi="Calibri"/>
                <w:b/>
                <w:color w:val="1A1A1A"/>
                <w:sz w:val="24"/>
              </w:rPr>
              <w:t>RECOMENDAÇÃO TÉCNICA</w:t>
            </w:r>
          </w:p>
        </w:tc>
        <w:tc>
          <w:tcPr>
            <w:tcW w:type="dxa" w:w="4844"/>
          </w:tcPr>
          <w:p>
            <w:pPr>
              <w:spacing w:after="0"/>
              <w:jc w:val="left"/>
            </w:pPr>
            <w:r/>
            <w:r>
              <w:rPr>
                <w:rFonts w:ascii="Calibri" w:hAnsi="Calibri"/>
                <w:b w:val="0"/>
                <w:color w:val="1A1A1A"/>
                <w:sz w:val="24"/>
              </w:rPr>
              <w:t>Orientação prudencial derivada de risco, boa prática e coerência com as fontes, sem força normativa.</w:t>
            </w:r>
          </w:p>
        </w:tc>
      </w:tr>
      <w:tr>
        <w:trPr>
          <w:cantSplit/>
        </w:trPr>
        <w:tc>
          <w:tcPr>
            <w:tcW w:type="dxa" w:w="4228"/>
            <w:shd w:val="clear" w:color="auto" w:fill="F2F5F8"/>
          </w:tcPr>
          <w:p>
            <w:pPr>
              <w:spacing w:after="0"/>
              <w:jc w:val="left"/>
            </w:pPr>
            <w:r/>
            <w:r>
              <w:rPr>
                <w:rFonts w:ascii="Calibri" w:hAnsi="Calibri"/>
                <w:b/>
                <w:color w:val="1A1A1A"/>
                <w:sz w:val="24"/>
              </w:rPr>
              <w:t>PENDÊNCIA INSTITUCIONAL</w:t>
            </w:r>
          </w:p>
        </w:tc>
        <w:tc>
          <w:tcPr>
            <w:tcW w:type="dxa" w:w="4844"/>
            <w:shd w:val="clear" w:color="auto" w:fill="F2F5F8"/>
          </w:tcPr>
          <w:p>
            <w:pPr>
              <w:spacing w:after="0"/>
              <w:jc w:val="left"/>
            </w:pPr>
            <w:r/>
            <w:r>
              <w:rPr>
                <w:rFonts w:ascii="Calibri" w:hAnsi="Calibri"/>
                <w:b w:val="0"/>
                <w:color w:val="1A1A1A"/>
                <w:sz w:val="24"/>
              </w:rPr>
              <w:t>Ponto que depende de deliberação do colegiado, de resposta de órgão, de dados primários ou de validação superior.</w:t>
            </w:r>
          </w:p>
        </w:tc>
      </w:tr>
    </w:tbl>
    <w:p>
      <w:pPr>
        <w:keepNext/>
        <w:spacing w:before="360" w:after="160"/>
        <w:jc w:val="left"/>
        <w:pBdr>
          <w:bottom w:val="single" w:sz="8" w:space="4" w:color="143C64"/>
        </w:pBdr>
      </w:pPr>
      <w:r>
        <w:rPr>
          <w:rFonts w:ascii="Calibri" w:hAnsi="Calibri"/>
          <w:b/>
          <w:color w:val="143C64"/>
          <w:sz w:val="30"/>
        </w:rPr>
        <w:t>2  As oito dimensões</w:t>
      </w:r>
    </w:p>
    <w:p>
      <w:pPr>
        <w:spacing w:after="120"/>
        <w:jc w:val="both"/>
      </w:pPr>
      <w:r>
        <w:rPr>
          <w:rFonts w:ascii="Calibri" w:hAnsi="Calibri"/>
          <w:b w:val="0"/>
          <w:i w:val="0"/>
          <w:color w:val="1A1A1A"/>
          <w:sz w:val="24"/>
        </w:rPr>
        <w:t>Nenhuma tecnologia é analisada pelo Núcleo sem responder às oito dimensões abaixo. Cada dimensão traz a pergunta orientadora, a evidência que deve ser efetivamente arquivada e o que a dimensão evita.</w:t>
      </w:r>
    </w:p>
    <w:p>
      <w:pPr>
        <w:keepNext/>
        <w:spacing w:before="240" w:after="80"/>
        <w:jc w:val="left"/>
      </w:pPr>
      <w:r>
        <w:rPr>
          <w:rFonts w:ascii="Calibri" w:hAnsi="Calibri"/>
          <w:b/>
          <w:color w:val="143C64"/>
          <w:sz w:val="26"/>
        </w:rPr>
        <w:t>1. Situação regulatória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846"/>
        <w:gridCol w:w="5226"/>
      </w:tblGrid>
      <w:tr>
        <w:trPr>
          <w:cantSplit/>
          <w:tblHeader/>
        </w:trPr>
        <w:tc>
          <w:tcPr>
            <w:tcW w:type="dxa" w:w="3846"/>
            <w:shd w:val="clear" w:color="auto" w:fill="143C64"/>
          </w:tcPr>
          <w:p>
            <w:pPr>
              <w:spacing w:after="0"/>
              <w:jc w:val="left"/>
            </w:pPr>
            <w:r/>
            <w:r>
              <w:rPr>
                <w:rFonts w:ascii="Calibri" w:hAnsi="Calibri"/>
                <w:b/>
                <w:color w:val="FFFFFF"/>
                <w:sz w:val="24"/>
              </w:rPr>
              <w:t>Elemento</w:t>
            </w:r>
          </w:p>
        </w:tc>
        <w:tc>
          <w:tcPr>
            <w:tcW w:type="dxa" w:w="5226"/>
            <w:shd w:val="clear" w:color="auto" w:fill="143C64"/>
          </w:tcPr>
          <w:p>
            <w:pPr>
              <w:spacing w:after="0"/>
              <w:jc w:val="left"/>
            </w:pPr>
            <w:r/>
            <w:r>
              <w:rPr>
                <w:rFonts w:ascii="Calibri" w:hAnsi="Calibri"/>
                <w:b/>
                <w:color w:val="FFFFFF"/>
                <w:sz w:val="24"/>
              </w:rPr>
              <w:t>Conteúdo</w:t>
            </w:r>
          </w:p>
        </w:tc>
      </w:tr>
      <w:tr>
        <w:trPr>
          <w:cantSplit/>
        </w:trPr>
        <w:tc>
          <w:tcPr>
            <w:tcW w:type="dxa" w:w="3846"/>
          </w:tcPr>
          <w:p>
            <w:pPr>
              <w:spacing w:after="0"/>
              <w:jc w:val="left"/>
            </w:pPr>
            <w:r/>
            <w:r>
              <w:rPr>
                <w:rFonts w:ascii="Calibri" w:hAnsi="Calibri"/>
                <w:b/>
                <w:color w:val="1A1A1A"/>
                <w:sz w:val="24"/>
              </w:rPr>
              <w:t>Pergunta orientadora</w:t>
            </w:r>
          </w:p>
        </w:tc>
        <w:tc>
          <w:tcPr>
            <w:tcW w:type="dxa" w:w="5226"/>
          </w:tcPr>
          <w:p>
            <w:pPr>
              <w:spacing w:after="0"/>
              <w:jc w:val="left"/>
            </w:pPr>
            <w:r/>
            <w:r>
              <w:rPr>
                <w:rFonts w:ascii="Calibri" w:hAnsi="Calibri"/>
                <w:b w:val="0"/>
                <w:color w:val="1A1A1A"/>
                <w:sz w:val="24"/>
              </w:rPr>
              <w:t>O produto ou equipamento possui regularização válida e indicação de uso compatível com o que se pretende fazer em Harmonização Orofacial?</w:t>
            </w:r>
          </w:p>
        </w:tc>
      </w:tr>
      <w:tr>
        <w:trPr>
          <w:cantSplit/>
        </w:trPr>
        <w:tc>
          <w:tcPr>
            <w:tcW w:type="dxa" w:w="3846"/>
            <w:shd w:val="clear" w:color="auto" w:fill="F2F5F8"/>
          </w:tcPr>
          <w:p>
            <w:pPr>
              <w:spacing w:after="0"/>
              <w:jc w:val="left"/>
            </w:pPr>
            <w:r/>
            <w:r>
              <w:rPr>
                <w:rFonts w:ascii="Calibri" w:hAnsi="Calibri"/>
                <w:b/>
                <w:color w:val="1A1A1A"/>
                <w:sz w:val="24"/>
              </w:rPr>
              <w:t>Evidência a arquivar</w:t>
            </w:r>
          </w:p>
        </w:tc>
        <w:tc>
          <w:tcPr>
            <w:tcW w:type="dxa" w:w="5226"/>
            <w:shd w:val="clear" w:color="auto" w:fill="F2F5F8"/>
          </w:tcPr>
          <w:p>
            <w:pPr>
              <w:spacing w:after="0"/>
              <w:jc w:val="left"/>
            </w:pPr>
            <w:r/>
            <w:r>
              <w:rPr>
                <w:rFonts w:ascii="Calibri" w:hAnsi="Calibri"/>
                <w:b w:val="0"/>
                <w:color w:val="1A1A1A"/>
                <w:sz w:val="24"/>
              </w:rPr>
              <w:t>Consulta documentada às bases oficiais, com número, situação, classe de risco, finalidade aprovada, data da consulta e responsável pela verificação.</w:t>
            </w:r>
          </w:p>
        </w:tc>
      </w:tr>
      <w:tr>
        <w:trPr>
          <w:cantSplit/>
        </w:trPr>
        <w:tc>
          <w:tcPr>
            <w:tcW w:type="dxa" w:w="3846"/>
          </w:tcPr>
          <w:p>
            <w:pPr>
              <w:spacing w:after="0"/>
              <w:jc w:val="left"/>
            </w:pPr>
            <w:r/>
            <w:r>
              <w:rPr>
                <w:rFonts w:ascii="Calibri" w:hAnsi="Calibri"/>
                <w:b/>
                <w:color w:val="1A1A1A"/>
                <w:sz w:val="24"/>
              </w:rPr>
              <w:t>O que esta dimensão evita</w:t>
            </w:r>
          </w:p>
        </w:tc>
        <w:tc>
          <w:tcPr>
            <w:tcW w:type="dxa" w:w="5226"/>
          </w:tcPr>
          <w:p>
            <w:pPr>
              <w:spacing w:after="0"/>
              <w:jc w:val="left"/>
            </w:pPr>
            <w:r/>
            <w:r>
              <w:rPr>
                <w:rFonts w:ascii="Calibri" w:hAnsi="Calibri"/>
                <w:b w:val="0"/>
                <w:color w:val="1A1A1A"/>
                <w:sz w:val="24"/>
              </w:rPr>
              <w:t>Adoção de tecnologia irregular ou uso fora da finalidade aprovada sem que isso seja reconhecido e tratado como tal.</w:t>
            </w:r>
          </w:p>
        </w:tc>
      </w:tr>
    </w:tbl>
    <w:p>
      <w:pPr>
        <w:keepNext/>
        <w:spacing w:before="240" w:after="80"/>
        <w:jc w:val="left"/>
      </w:pPr>
      <w:r>
        <w:rPr>
          <w:rFonts w:ascii="Calibri" w:hAnsi="Calibri"/>
          <w:b/>
          <w:color w:val="143C64"/>
          <w:sz w:val="26"/>
        </w:rPr>
        <w:t>2. Nível de evidência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53"/>
        <w:gridCol w:w="5319"/>
      </w:tblGrid>
      <w:tr>
        <w:trPr>
          <w:cantSplit/>
          <w:tblHeader/>
        </w:trPr>
        <w:tc>
          <w:tcPr>
            <w:tcW w:type="dxa" w:w="3753"/>
            <w:shd w:val="clear" w:color="auto" w:fill="143C64"/>
          </w:tcPr>
          <w:p>
            <w:pPr>
              <w:spacing w:after="0"/>
              <w:jc w:val="left"/>
            </w:pPr>
            <w:r/>
            <w:r>
              <w:rPr>
                <w:rFonts w:ascii="Calibri" w:hAnsi="Calibri"/>
                <w:b/>
                <w:color w:val="FFFFFF"/>
                <w:sz w:val="24"/>
              </w:rPr>
              <w:t>Elemento</w:t>
            </w:r>
          </w:p>
        </w:tc>
        <w:tc>
          <w:tcPr>
            <w:tcW w:type="dxa" w:w="5319"/>
            <w:shd w:val="clear" w:color="auto" w:fill="143C64"/>
          </w:tcPr>
          <w:p>
            <w:pPr>
              <w:spacing w:after="0"/>
              <w:jc w:val="left"/>
            </w:pPr>
            <w:r/>
            <w:r>
              <w:rPr>
                <w:rFonts w:ascii="Calibri" w:hAnsi="Calibri"/>
                <w:b/>
                <w:color w:val="FFFFFF"/>
                <w:sz w:val="24"/>
              </w:rPr>
              <w:t>Conteúdo</w:t>
            </w:r>
          </w:p>
        </w:tc>
      </w:tr>
      <w:tr>
        <w:trPr>
          <w:cantSplit/>
        </w:trPr>
        <w:tc>
          <w:tcPr>
            <w:tcW w:type="dxa" w:w="3753"/>
          </w:tcPr>
          <w:p>
            <w:pPr>
              <w:spacing w:after="0"/>
              <w:jc w:val="left"/>
            </w:pPr>
            <w:r/>
            <w:r>
              <w:rPr>
                <w:rFonts w:ascii="Calibri" w:hAnsi="Calibri"/>
                <w:b/>
                <w:color w:val="1A1A1A"/>
                <w:sz w:val="24"/>
              </w:rPr>
              <w:t>Pergunta orientadora</w:t>
            </w:r>
          </w:p>
        </w:tc>
        <w:tc>
          <w:tcPr>
            <w:tcW w:type="dxa" w:w="5319"/>
          </w:tcPr>
          <w:p>
            <w:pPr>
              <w:spacing w:after="0"/>
              <w:jc w:val="left"/>
            </w:pPr>
            <w:r/>
            <w:r>
              <w:rPr>
                <w:rFonts w:ascii="Calibri" w:hAnsi="Calibri"/>
                <w:b w:val="0"/>
                <w:color w:val="1A1A1A"/>
                <w:sz w:val="24"/>
              </w:rPr>
              <w:t>Que tipo de estudo sustenta a alegação: ensaio clínico, revisão sistemática, série de casos, relato isolado ou material do fabricante?</w:t>
            </w:r>
          </w:p>
        </w:tc>
      </w:tr>
      <w:tr>
        <w:trPr>
          <w:cantSplit/>
        </w:trPr>
        <w:tc>
          <w:tcPr>
            <w:tcW w:type="dxa" w:w="3753"/>
            <w:shd w:val="clear" w:color="auto" w:fill="F2F5F8"/>
          </w:tcPr>
          <w:p>
            <w:pPr>
              <w:spacing w:after="0"/>
              <w:jc w:val="left"/>
            </w:pPr>
            <w:r/>
            <w:r>
              <w:rPr>
                <w:rFonts w:ascii="Calibri" w:hAnsi="Calibri"/>
                <w:b/>
                <w:color w:val="1A1A1A"/>
                <w:sz w:val="24"/>
              </w:rPr>
              <w:t>Evidência a arquivar</w:t>
            </w:r>
          </w:p>
        </w:tc>
        <w:tc>
          <w:tcPr>
            <w:tcW w:type="dxa" w:w="5319"/>
            <w:shd w:val="clear" w:color="auto" w:fill="F2F5F8"/>
          </w:tcPr>
          <w:p>
            <w:pPr>
              <w:spacing w:after="0"/>
              <w:jc w:val="left"/>
            </w:pPr>
            <w:r/>
            <w:r>
              <w:rPr>
                <w:rFonts w:ascii="Calibri" w:hAnsi="Calibri"/>
                <w:b w:val="0"/>
                <w:color w:val="1A1A1A"/>
                <w:sz w:val="24"/>
              </w:rPr>
              <w:t>Estratégia de busca, bases consultadas, período, desenho dos estudos encontrados e suas limitações declaradas.</w:t>
            </w:r>
          </w:p>
        </w:tc>
      </w:tr>
      <w:tr>
        <w:trPr>
          <w:cantSplit/>
        </w:trPr>
        <w:tc>
          <w:tcPr>
            <w:tcW w:type="dxa" w:w="3753"/>
          </w:tcPr>
          <w:p>
            <w:pPr>
              <w:spacing w:after="0"/>
              <w:jc w:val="left"/>
            </w:pPr>
            <w:r/>
            <w:r>
              <w:rPr>
                <w:rFonts w:ascii="Calibri" w:hAnsi="Calibri"/>
                <w:b/>
                <w:color w:val="1A1A1A"/>
                <w:sz w:val="24"/>
              </w:rPr>
              <w:t>O que esta dimensão evita</w:t>
            </w:r>
          </w:p>
        </w:tc>
        <w:tc>
          <w:tcPr>
            <w:tcW w:type="dxa" w:w="5319"/>
          </w:tcPr>
          <w:p>
            <w:pPr>
              <w:spacing w:after="0"/>
              <w:jc w:val="left"/>
            </w:pPr>
            <w:r/>
            <w:r>
              <w:rPr>
                <w:rFonts w:ascii="Calibri" w:hAnsi="Calibri"/>
                <w:b w:val="0"/>
                <w:color w:val="1A1A1A"/>
                <w:sz w:val="24"/>
              </w:rPr>
              <w:t>Confundir material promocional com evidência e tratar plausibilidade mecanística como demonstração de benefício.</w:t>
            </w:r>
          </w:p>
        </w:tc>
      </w:tr>
    </w:tbl>
    <w:p>
      <w:pPr>
        <w:keepNext/>
        <w:spacing w:before="240" w:after="80"/>
        <w:jc w:val="left"/>
      </w:pPr>
      <w:r>
        <w:rPr>
          <w:rFonts w:ascii="Calibri" w:hAnsi="Calibri"/>
          <w:b/>
          <w:color w:val="143C64"/>
          <w:sz w:val="26"/>
        </w:rPr>
        <w:t>3. Perfil de segurança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64"/>
        <w:gridCol w:w="5408"/>
      </w:tblGrid>
      <w:tr>
        <w:trPr>
          <w:cantSplit/>
          <w:tblHeader/>
        </w:trPr>
        <w:tc>
          <w:tcPr>
            <w:tcW w:type="dxa" w:w="3664"/>
            <w:shd w:val="clear" w:color="auto" w:fill="143C64"/>
          </w:tcPr>
          <w:p>
            <w:pPr>
              <w:spacing w:after="0"/>
              <w:jc w:val="left"/>
            </w:pPr>
            <w:r/>
            <w:r>
              <w:rPr>
                <w:rFonts w:ascii="Calibri" w:hAnsi="Calibri"/>
                <w:b/>
                <w:color w:val="FFFFFF"/>
                <w:sz w:val="24"/>
              </w:rPr>
              <w:t>Elemento</w:t>
            </w:r>
          </w:p>
        </w:tc>
        <w:tc>
          <w:tcPr>
            <w:tcW w:type="dxa" w:w="5408"/>
            <w:shd w:val="clear" w:color="auto" w:fill="143C64"/>
          </w:tcPr>
          <w:p>
            <w:pPr>
              <w:spacing w:after="0"/>
              <w:jc w:val="left"/>
            </w:pPr>
            <w:r/>
            <w:r>
              <w:rPr>
                <w:rFonts w:ascii="Calibri" w:hAnsi="Calibri"/>
                <w:b/>
                <w:color w:val="FFFFFF"/>
                <w:sz w:val="24"/>
              </w:rPr>
              <w:t>Conteúdo</w:t>
            </w:r>
          </w:p>
        </w:tc>
      </w:tr>
      <w:tr>
        <w:trPr>
          <w:cantSplit/>
        </w:trPr>
        <w:tc>
          <w:tcPr>
            <w:tcW w:type="dxa" w:w="3664"/>
          </w:tcPr>
          <w:p>
            <w:pPr>
              <w:spacing w:after="0"/>
              <w:jc w:val="left"/>
            </w:pPr>
            <w:r/>
            <w:r>
              <w:rPr>
                <w:rFonts w:ascii="Calibri" w:hAnsi="Calibri"/>
                <w:b/>
                <w:color w:val="1A1A1A"/>
                <w:sz w:val="24"/>
              </w:rPr>
              <w:t>Pergunta orientadora</w:t>
            </w:r>
          </w:p>
        </w:tc>
        <w:tc>
          <w:tcPr>
            <w:tcW w:type="dxa" w:w="5408"/>
          </w:tcPr>
          <w:p>
            <w:pPr>
              <w:spacing w:after="0"/>
              <w:jc w:val="left"/>
            </w:pPr>
            <w:r/>
            <w:r>
              <w:rPr>
                <w:rFonts w:ascii="Calibri" w:hAnsi="Calibri"/>
                <w:b w:val="0"/>
                <w:color w:val="1A1A1A"/>
                <w:sz w:val="24"/>
              </w:rPr>
              <w:t>Quais eventos adversos são descritos, com que frequência e gravidade, e existe conduta de manejo conhecida e disponível?</w:t>
            </w:r>
          </w:p>
        </w:tc>
      </w:tr>
      <w:tr>
        <w:trPr>
          <w:cantSplit/>
        </w:trPr>
        <w:tc>
          <w:tcPr>
            <w:tcW w:type="dxa" w:w="3664"/>
            <w:shd w:val="clear" w:color="auto" w:fill="F2F5F8"/>
          </w:tcPr>
          <w:p>
            <w:pPr>
              <w:spacing w:after="0"/>
              <w:jc w:val="left"/>
            </w:pPr>
            <w:r/>
            <w:r>
              <w:rPr>
                <w:rFonts w:ascii="Calibri" w:hAnsi="Calibri"/>
                <w:b/>
                <w:color w:val="1A1A1A"/>
                <w:sz w:val="24"/>
              </w:rPr>
              <w:t>Evidência a arquivar</w:t>
            </w:r>
          </w:p>
        </w:tc>
        <w:tc>
          <w:tcPr>
            <w:tcW w:type="dxa" w:w="5408"/>
            <w:shd w:val="clear" w:color="auto" w:fill="F2F5F8"/>
          </w:tcPr>
          <w:p>
            <w:pPr>
              <w:spacing w:after="0"/>
              <w:jc w:val="left"/>
            </w:pPr>
            <w:r/>
            <w:r>
              <w:rPr>
                <w:rFonts w:ascii="Calibri" w:hAnsi="Calibri"/>
                <w:b w:val="0"/>
                <w:color w:val="1A1A1A"/>
                <w:sz w:val="24"/>
              </w:rPr>
              <w:t>Descrição dos eventos, fontes, existência de POP de manejo e disponibilidade dos recursos de contingência.</w:t>
            </w:r>
          </w:p>
        </w:tc>
      </w:tr>
      <w:tr>
        <w:trPr>
          <w:cantSplit/>
        </w:trPr>
        <w:tc>
          <w:tcPr>
            <w:tcW w:type="dxa" w:w="3664"/>
          </w:tcPr>
          <w:p>
            <w:pPr>
              <w:spacing w:after="0"/>
              <w:jc w:val="left"/>
            </w:pPr>
            <w:r/>
            <w:r>
              <w:rPr>
                <w:rFonts w:ascii="Calibri" w:hAnsi="Calibri"/>
                <w:b/>
                <w:color w:val="1A1A1A"/>
                <w:sz w:val="24"/>
              </w:rPr>
              <w:t>O que esta dimensão evita</w:t>
            </w:r>
          </w:p>
        </w:tc>
        <w:tc>
          <w:tcPr>
            <w:tcW w:type="dxa" w:w="5408"/>
          </w:tcPr>
          <w:p>
            <w:pPr>
              <w:spacing w:after="0"/>
              <w:jc w:val="left"/>
            </w:pPr>
            <w:r/>
            <w:r>
              <w:rPr>
                <w:rFonts w:ascii="Calibri" w:hAnsi="Calibri"/>
                <w:b w:val="0"/>
                <w:color w:val="1A1A1A"/>
                <w:sz w:val="24"/>
              </w:rPr>
              <w:t>Adotar tecnologia cujo evento adverso previsível não tem resposta possível no serviço.</w:t>
            </w:r>
          </w:p>
        </w:tc>
      </w:tr>
    </w:tbl>
    <w:p>
      <w:pPr>
        <w:keepNext/>
        <w:spacing w:before="240" w:after="80"/>
        <w:jc w:val="left"/>
      </w:pPr>
      <w:r>
        <w:rPr>
          <w:rFonts w:ascii="Calibri" w:hAnsi="Calibri"/>
          <w:b/>
          <w:color w:val="143C64"/>
          <w:sz w:val="26"/>
        </w:rPr>
        <w:t>4. Reprodutibilidade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846"/>
        <w:gridCol w:w="5226"/>
      </w:tblGrid>
      <w:tr>
        <w:trPr>
          <w:cantSplit/>
          <w:tblHeader/>
        </w:trPr>
        <w:tc>
          <w:tcPr>
            <w:tcW w:type="dxa" w:w="3846"/>
            <w:shd w:val="clear" w:color="auto" w:fill="143C64"/>
          </w:tcPr>
          <w:p>
            <w:pPr>
              <w:spacing w:after="0"/>
              <w:jc w:val="left"/>
            </w:pPr>
            <w:r/>
            <w:r>
              <w:rPr>
                <w:rFonts w:ascii="Calibri" w:hAnsi="Calibri"/>
                <w:b/>
                <w:color w:val="FFFFFF"/>
                <w:sz w:val="24"/>
              </w:rPr>
              <w:t>Elemento</w:t>
            </w:r>
          </w:p>
        </w:tc>
        <w:tc>
          <w:tcPr>
            <w:tcW w:type="dxa" w:w="5226"/>
            <w:shd w:val="clear" w:color="auto" w:fill="143C64"/>
          </w:tcPr>
          <w:p>
            <w:pPr>
              <w:spacing w:after="0"/>
              <w:jc w:val="left"/>
            </w:pPr>
            <w:r/>
            <w:r>
              <w:rPr>
                <w:rFonts w:ascii="Calibri" w:hAnsi="Calibri"/>
                <w:b/>
                <w:color w:val="FFFFFF"/>
                <w:sz w:val="24"/>
              </w:rPr>
              <w:t>Conteúdo</w:t>
            </w:r>
          </w:p>
        </w:tc>
      </w:tr>
      <w:tr>
        <w:trPr>
          <w:cantSplit/>
        </w:trPr>
        <w:tc>
          <w:tcPr>
            <w:tcW w:type="dxa" w:w="3846"/>
          </w:tcPr>
          <w:p>
            <w:pPr>
              <w:spacing w:after="0"/>
              <w:jc w:val="left"/>
            </w:pPr>
            <w:r/>
            <w:r>
              <w:rPr>
                <w:rFonts w:ascii="Calibri" w:hAnsi="Calibri"/>
                <w:b/>
                <w:color w:val="1A1A1A"/>
                <w:sz w:val="24"/>
              </w:rPr>
              <w:t>Pergunta orientadora</w:t>
            </w:r>
          </w:p>
        </w:tc>
        <w:tc>
          <w:tcPr>
            <w:tcW w:type="dxa" w:w="5226"/>
          </w:tcPr>
          <w:p>
            <w:pPr>
              <w:spacing w:after="0"/>
              <w:jc w:val="left"/>
            </w:pPr>
            <w:r/>
            <w:r>
              <w:rPr>
                <w:rFonts w:ascii="Calibri" w:hAnsi="Calibri"/>
                <w:b w:val="0"/>
                <w:color w:val="1A1A1A"/>
                <w:sz w:val="24"/>
              </w:rPr>
              <w:t>O resultado exige operador de exceção ou é reprodutível na prática clínica comum, com parâmetros descritos?</w:t>
            </w:r>
          </w:p>
        </w:tc>
      </w:tr>
      <w:tr>
        <w:trPr>
          <w:cantSplit/>
        </w:trPr>
        <w:tc>
          <w:tcPr>
            <w:tcW w:type="dxa" w:w="3846"/>
            <w:shd w:val="clear" w:color="auto" w:fill="F2F5F8"/>
          </w:tcPr>
          <w:p>
            <w:pPr>
              <w:spacing w:after="0"/>
              <w:jc w:val="left"/>
            </w:pPr>
            <w:r/>
            <w:r>
              <w:rPr>
                <w:rFonts w:ascii="Calibri" w:hAnsi="Calibri"/>
                <w:b/>
                <w:color w:val="1A1A1A"/>
                <w:sz w:val="24"/>
              </w:rPr>
              <w:t>Evidência a arquivar</w:t>
            </w:r>
          </w:p>
        </w:tc>
        <w:tc>
          <w:tcPr>
            <w:tcW w:type="dxa" w:w="5226"/>
            <w:shd w:val="clear" w:color="auto" w:fill="F2F5F8"/>
          </w:tcPr>
          <w:p>
            <w:pPr>
              <w:spacing w:after="0"/>
              <w:jc w:val="left"/>
            </w:pPr>
            <w:r/>
            <w:r>
              <w:rPr>
                <w:rFonts w:ascii="Calibri" w:hAnsi="Calibri"/>
                <w:b w:val="0"/>
                <w:color w:val="1A1A1A"/>
                <w:sz w:val="24"/>
              </w:rPr>
              <w:t>Parâmetros operacionais, dependência de curva de aprendizado, consistência entre operadores relatada na literatura.</w:t>
            </w:r>
          </w:p>
        </w:tc>
      </w:tr>
      <w:tr>
        <w:trPr>
          <w:cantSplit/>
        </w:trPr>
        <w:tc>
          <w:tcPr>
            <w:tcW w:type="dxa" w:w="3846"/>
          </w:tcPr>
          <w:p>
            <w:pPr>
              <w:spacing w:after="0"/>
              <w:jc w:val="left"/>
            </w:pPr>
            <w:r/>
            <w:r>
              <w:rPr>
                <w:rFonts w:ascii="Calibri" w:hAnsi="Calibri"/>
                <w:b/>
                <w:color w:val="1A1A1A"/>
                <w:sz w:val="24"/>
              </w:rPr>
              <w:t>O que esta dimensão evita</w:t>
            </w:r>
          </w:p>
        </w:tc>
        <w:tc>
          <w:tcPr>
            <w:tcW w:type="dxa" w:w="5226"/>
          </w:tcPr>
          <w:p>
            <w:pPr>
              <w:spacing w:after="0"/>
              <w:jc w:val="left"/>
            </w:pPr>
            <w:r/>
            <w:r>
              <w:rPr>
                <w:rFonts w:ascii="Calibri" w:hAnsi="Calibri"/>
                <w:b w:val="0"/>
                <w:color w:val="1A1A1A"/>
                <w:sz w:val="24"/>
              </w:rPr>
              <w:t>Generalizar resultado obtido em centro de referência para a prática cotidiana.</w:t>
            </w:r>
          </w:p>
        </w:tc>
      </w:tr>
    </w:tbl>
    <w:p>
      <w:pPr>
        <w:keepNext/>
        <w:spacing w:before="240" w:after="80"/>
        <w:jc w:val="left"/>
      </w:pPr>
      <w:r>
        <w:rPr>
          <w:rFonts w:ascii="Calibri" w:hAnsi="Calibri"/>
          <w:b/>
          <w:color w:val="143C64"/>
          <w:sz w:val="26"/>
        </w:rPr>
        <w:t>5. Reversibilidade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77"/>
        <w:gridCol w:w="5495"/>
      </w:tblGrid>
      <w:tr>
        <w:trPr>
          <w:cantSplit/>
          <w:tblHeader/>
        </w:trPr>
        <w:tc>
          <w:tcPr>
            <w:tcW w:type="dxa" w:w="3577"/>
            <w:shd w:val="clear" w:color="auto" w:fill="143C64"/>
          </w:tcPr>
          <w:p>
            <w:pPr>
              <w:spacing w:after="0"/>
              <w:jc w:val="left"/>
            </w:pPr>
            <w:r/>
            <w:r>
              <w:rPr>
                <w:rFonts w:ascii="Calibri" w:hAnsi="Calibri"/>
                <w:b/>
                <w:color w:val="FFFFFF"/>
                <w:sz w:val="24"/>
              </w:rPr>
              <w:t>Elemento</w:t>
            </w:r>
          </w:p>
        </w:tc>
        <w:tc>
          <w:tcPr>
            <w:tcW w:type="dxa" w:w="5495"/>
            <w:shd w:val="clear" w:color="auto" w:fill="143C64"/>
          </w:tcPr>
          <w:p>
            <w:pPr>
              <w:spacing w:after="0"/>
              <w:jc w:val="left"/>
            </w:pPr>
            <w:r/>
            <w:r>
              <w:rPr>
                <w:rFonts w:ascii="Calibri" w:hAnsi="Calibri"/>
                <w:b/>
                <w:color w:val="FFFFFF"/>
                <w:sz w:val="24"/>
              </w:rPr>
              <w:t>Conteúdo</w:t>
            </w:r>
          </w:p>
        </w:tc>
      </w:tr>
      <w:tr>
        <w:trPr>
          <w:cantSplit/>
        </w:trPr>
        <w:tc>
          <w:tcPr>
            <w:tcW w:type="dxa" w:w="3577"/>
          </w:tcPr>
          <w:p>
            <w:pPr>
              <w:spacing w:after="0"/>
              <w:jc w:val="left"/>
            </w:pPr>
            <w:r/>
            <w:r>
              <w:rPr>
                <w:rFonts w:ascii="Calibri" w:hAnsi="Calibri"/>
                <w:b/>
                <w:color w:val="1A1A1A"/>
                <w:sz w:val="24"/>
              </w:rPr>
              <w:t>Pergunta orientadora</w:t>
            </w:r>
          </w:p>
        </w:tc>
        <w:tc>
          <w:tcPr>
            <w:tcW w:type="dxa" w:w="5495"/>
          </w:tcPr>
          <w:p>
            <w:pPr>
              <w:spacing w:after="0"/>
              <w:jc w:val="left"/>
            </w:pPr>
            <w:r/>
            <w:r>
              <w:rPr>
                <w:rFonts w:ascii="Calibri" w:hAnsi="Calibri"/>
                <w:b w:val="0"/>
                <w:color w:val="1A1A1A"/>
                <w:sz w:val="24"/>
              </w:rPr>
              <w:t>Havendo resultado indesejado, o efeito é reversível e existe conduta corretiva conhecida?</w:t>
            </w:r>
          </w:p>
        </w:tc>
      </w:tr>
      <w:tr>
        <w:trPr>
          <w:cantSplit/>
        </w:trPr>
        <w:tc>
          <w:tcPr>
            <w:tcW w:type="dxa" w:w="3577"/>
            <w:shd w:val="clear" w:color="auto" w:fill="F2F5F8"/>
          </w:tcPr>
          <w:p>
            <w:pPr>
              <w:spacing w:after="0"/>
              <w:jc w:val="left"/>
            </w:pPr>
            <w:r/>
            <w:r>
              <w:rPr>
                <w:rFonts w:ascii="Calibri" w:hAnsi="Calibri"/>
                <w:b/>
                <w:color w:val="1A1A1A"/>
                <w:sz w:val="24"/>
              </w:rPr>
              <w:t>Evidência a arquivar</w:t>
            </w:r>
          </w:p>
        </w:tc>
        <w:tc>
          <w:tcPr>
            <w:tcW w:type="dxa" w:w="5495"/>
            <w:shd w:val="clear" w:color="auto" w:fill="F2F5F8"/>
          </w:tcPr>
          <w:p>
            <w:pPr>
              <w:spacing w:after="0"/>
              <w:jc w:val="left"/>
            </w:pPr>
            <w:r/>
            <w:r>
              <w:rPr>
                <w:rFonts w:ascii="Calibri" w:hAnsi="Calibri"/>
                <w:b w:val="0"/>
                <w:color w:val="1A1A1A"/>
                <w:sz w:val="24"/>
              </w:rPr>
              <w:t>Descrição do que ocorre em caso de resultado adverso, existência de agente ou técnica de reversão e sua disponibilidade.</w:t>
            </w:r>
          </w:p>
        </w:tc>
      </w:tr>
      <w:tr>
        <w:trPr>
          <w:cantSplit/>
        </w:trPr>
        <w:tc>
          <w:tcPr>
            <w:tcW w:type="dxa" w:w="3577"/>
          </w:tcPr>
          <w:p>
            <w:pPr>
              <w:spacing w:after="0"/>
              <w:jc w:val="left"/>
            </w:pPr>
            <w:r/>
            <w:r>
              <w:rPr>
                <w:rFonts w:ascii="Calibri" w:hAnsi="Calibri"/>
                <w:b/>
                <w:color w:val="1A1A1A"/>
                <w:sz w:val="24"/>
              </w:rPr>
              <w:t>O que esta dimensão evita</w:t>
            </w:r>
          </w:p>
        </w:tc>
        <w:tc>
          <w:tcPr>
            <w:tcW w:type="dxa" w:w="5495"/>
          </w:tcPr>
          <w:p>
            <w:pPr>
              <w:spacing w:after="0"/>
              <w:jc w:val="left"/>
            </w:pPr>
            <w:r/>
            <w:r>
              <w:rPr>
                <w:rFonts w:ascii="Calibri" w:hAnsi="Calibri"/>
                <w:b w:val="0"/>
                <w:color w:val="1A1A1A"/>
                <w:sz w:val="24"/>
              </w:rPr>
              <w:t>Tratar como equivalentes tecnologias reversíveis e tecnologias de efeito permanente.</w:t>
            </w:r>
          </w:p>
        </w:tc>
      </w:tr>
    </w:tbl>
    <w:p>
      <w:pPr>
        <w:keepNext/>
        <w:spacing w:before="240" w:after="80"/>
        <w:jc w:val="left"/>
      </w:pPr>
      <w:r>
        <w:rPr>
          <w:rFonts w:ascii="Calibri" w:hAnsi="Calibri"/>
          <w:b/>
          <w:color w:val="143C64"/>
          <w:sz w:val="26"/>
        </w:rPr>
        <w:t>6. Escopo profissional</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410"/>
        <w:gridCol w:w="5662"/>
      </w:tblGrid>
      <w:tr>
        <w:trPr>
          <w:cantSplit/>
          <w:tblHeader/>
        </w:trPr>
        <w:tc>
          <w:tcPr>
            <w:tcW w:type="dxa" w:w="3410"/>
            <w:shd w:val="clear" w:color="auto" w:fill="143C64"/>
          </w:tcPr>
          <w:p>
            <w:pPr>
              <w:spacing w:after="0"/>
              <w:jc w:val="left"/>
            </w:pPr>
            <w:r/>
            <w:r>
              <w:rPr>
                <w:rFonts w:ascii="Calibri" w:hAnsi="Calibri"/>
                <w:b/>
                <w:color w:val="FFFFFF"/>
                <w:sz w:val="24"/>
              </w:rPr>
              <w:t>Elemento</w:t>
            </w:r>
          </w:p>
        </w:tc>
        <w:tc>
          <w:tcPr>
            <w:tcW w:type="dxa" w:w="5662"/>
            <w:shd w:val="clear" w:color="auto" w:fill="143C64"/>
          </w:tcPr>
          <w:p>
            <w:pPr>
              <w:spacing w:after="0"/>
              <w:jc w:val="left"/>
            </w:pPr>
            <w:r/>
            <w:r>
              <w:rPr>
                <w:rFonts w:ascii="Calibri" w:hAnsi="Calibri"/>
                <w:b/>
                <w:color w:val="FFFFFF"/>
                <w:sz w:val="24"/>
              </w:rPr>
              <w:t>Conteúdo</w:t>
            </w:r>
          </w:p>
        </w:tc>
      </w:tr>
      <w:tr>
        <w:trPr>
          <w:cantSplit/>
        </w:trPr>
        <w:tc>
          <w:tcPr>
            <w:tcW w:type="dxa" w:w="3410"/>
          </w:tcPr>
          <w:p>
            <w:pPr>
              <w:spacing w:after="0"/>
              <w:jc w:val="left"/>
            </w:pPr>
            <w:r/>
            <w:r>
              <w:rPr>
                <w:rFonts w:ascii="Calibri" w:hAnsi="Calibri"/>
                <w:b/>
                <w:color w:val="1A1A1A"/>
                <w:sz w:val="24"/>
              </w:rPr>
              <w:t>Pergunta orientadora</w:t>
            </w:r>
          </w:p>
        </w:tc>
        <w:tc>
          <w:tcPr>
            <w:tcW w:type="dxa" w:w="5662"/>
          </w:tcPr>
          <w:p>
            <w:pPr>
              <w:spacing w:after="0"/>
              <w:jc w:val="left"/>
            </w:pPr>
            <w:r/>
            <w:r>
              <w:rPr>
                <w:rFonts w:ascii="Calibri" w:hAnsi="Calibri"/>
                <w:b w:val="0"/>
                <w:color w:val="1A1A1A"/>
                <w:sz w:val="24"/>
              </w:rPr>
              <w:t>O uso está dentro das competências do cirurgião-dentista e em conformidade com o Código de Ética Odontológica?</w:t>
            </w:r>
          </w:p>
        </w:tc>
      </w:tr>
      <w:tr>
        <w:trPr>
          <w:cantSplit/>
        </w:trPr>
        <w:tc>
          <w:tcPr>
            <w:tcW w:type="dxa" w:w="3410"/>
            <w:shd w:val="clear" w:color="auto" w:fill="F2F5F8"/>
          </w:tcPr>
          <w:p>
            <w:pPr>
              <w:spacing w:after="0"/>
              <w:jc w:val="left"/>
            </w:pPr>
            <w:r/>
            <w:r>
              <w:rPr>
                <w:rFonts w:ascii="Calibri" w:hAnsi="Calibri"/>
                <w:b/>
                <w:color w:val="1A1A1A"/>
                <w:sz w:val="24"/>
              </w:rPr>
              <w:t>Evidência a arquivar</w:t>
            </w:r>
          </w:p>
        </w:tc>
        <w:tc>
          <w:tcPr>
            <w:tcW w:type="dxa" w:w="5662"/>
            <w:shd w:val="clear" w:color="auto" w:fill="F2F5F8"/>
          </w:tcPr>
          <w:p>
            <w:pPr>
              <w:spacing w:after="0"/>
              <w:jc w:val="left"/>
            </w:pPr>
            <w:r/>
            <w:r>
              <w:rPr>
                <w:rFonts w:ascii="Calibri" w:hAnsi="Calibri"/>
                <w:b w:val="0"/>
                <w:color w:val="1A1A1A"/>
                <w:sz w:val="24"/>
              </w:rPr>
              <w:t>Fundamento normativo da competência, com data de consulta e registro da situação contenciosa quando houver.</w:t>
            </w:r>
          </w:p>
        </w:tc>
      </w:tr>
      <w:tr>
        <w:trPr>
          <w:cantSplit/>
        </w:trPr>
        <w:tc>
          <w:tcPr>
            <w:tcW w:type="dxa" w:w="3410"/>
          </w:tcPr>
          <w:p>
            <w:pPr>
              <w:spacing w:after="0"/>
              <w:jc w:val="left"/>
            </w:pPr>
            <w:r/>
            <w:r>
              <w:rPr>
                <w:rFonts w:ascii="Calibri" w:hAnsi="Calibri"/>
                <w:b/>
                <w:color w:val="1A1A1A"/>
                <w:sz w:val="24"/>
              </w:rPr>
              <w:t>O que esta dimensão evita</w:t>
            </w:r>
          </w:p>
        </w:tc>
        <w:tc>
          <w:tcPr>
            <w:tcW w:type="dxa" w:w="5662"/>
          </w:tcPr>
          <w:p>
            <w:pPr>
              <w:spacing w:after="0"/>
              <w:jc w:val="left"/>
            </w:pPr>
            <w:r/>
            <w:r>
              <w:rPr>
                <w:rFonts w:ascii="Calibri" w:hAnsi="Calibri"/>
                <w:b w:val="0"/>
                <w:color w:val="1A1A1A"/>
                <w:sz w:val="24"/>
              </w:rPr>
              <w:t>Recomendar tecnologia cuja utilização extrapole o campo de atuação, expondo o profissional.</w:t>
            </w:r>
          </w:p>
        </w:tc>
      </w:tr>
    </w:tbl>
    <w:p>
      <w:pPr>
        <w:keepNext/>
        <w:spacing w:before="240" w:after="80"/>
        <w:jc w:val="left"/>
      </w:pPr>
      <w:r>
        <w:rPr>
          <w:rFonts w:ascii="Calibri" w:hAnsi="Calibri"/>
          <w:b/>
          <w:color w:val="143C64"/>
          <w:sz w:val="26"/>
        </w:rPr>
        <w:t>7. Capacitação e infraestrutura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846"/>
        <w:gridCol w:w="5226"/>
      </w:tblGrid>
      <w:tr>
        <w:trPr>
          <w:cantSplit/>
          <w:tblHeader/>
        </w:trPr>
        <w:tc>
          <w:tcPr>
            <w:tcW w:type="dxa" w:w="3846"/>
            <w:shd w:val="clear" w:color="auto" w:fill="143C64"/>
          </w:tcPr>
          <w:p>
            <w:pPr>
              <w:spacing w:after="0"/>
              <w:jc w:val="left"/>
            </w:pPr>
            <w:r/>
            <w:r>
              <w:rPr>
                <w:rFonts w:ascii="Calibri" w:hAnsi="Calibri"/>
                <w:b/>
                <w:color w:val="FFFFFF"/>
                <w:sz w:val="24"/>
              </w:rPr>
              <w:t>Elemento</w:t>
            </w:r>
          </w:p>
        </w:tc>
        <w:tc>
          <w:tcPr>
            <w:tcW w:type="dxa" w:w="5226"/>
            <w:shd w:val="clear" w:color="auto" w:fill="143C64"/>
          </w:tcPr>
          <w:p>
            <w:pPr>
              <w:spacing w:after="0"/>
              <w:jc w:val="left"/>
            </w:pPr>
            <w:r/>
            <w:r>
              <w:rPr>
                <w:rFonts w:ascii="Calibri" w:hAnsi="Calibri"/>
                <w:b/>
                <w:color w:val="FFFFFF"/>
                <w:sz w:val="24"/>
              </w:rPr>
              <w:t>Conteúdo</w:t>
            </w:r>
          </w:p>
        </w:tc>
      </w:tr>
      <w:tr>
        <w:trPr>
          <w:cantSplit/>
        </w:trPr>
        <w:tc>
          <w:tcPr>
            <w:tcW w:type="dxa" w:w="3846"/>
          </w:tcPr>
          <w:p>
            <w:pPr>
              <w:spacing w:after="0"/>
              <w:jc w:val="left"/>
            </w:pPr>
            <w:r/>
            <w:r>
              <w:rPr>
                <w:rFonts w:ascii="Calibri" w:hAnsi="Calibri"/>
                <w:b/>
                <w:color w:val="1A1A1A"/>
                <w:sz w:val="24"/>
              </w:rPr>
              <w:t>Pergunta orientadora</w:t>
            </w:r>
          </w:p>
        </w:tc>
        <w:tc>
          <w:tcPr>
            <w:tcW w:type="dxa" w:w="5226"/>
          </w:tcPr>
          <w:p>
            <w:pPr>
              <w:spacing w:after="0"/>
              <w:jc w:val="left"/>
            </w:pPr>
            <w:r/>
            <w:r>
              <w:rPr>
                <w:rFonts w:ascii="Calibri" w:hAnsi="Calibri"/>
                <w:b w:val="0"/>
                <w:color w:val="1A1A1A"/>
                <w:sz w:val="24"/>
              </w:rPr>
              <w:t>O serviço dispõe de treinamento comprovado, recursos de contingência, estrutura física e condições de manutenção compatíveis com a tecnologia?</w:t>
            </w:r>
          </w:p>
        </w:tc>
      </w:tr>
      <w:tr>
        <w:trPr>
          <w:cantSplit/>
        </w:trPr>
        <w:tc>
          <w:tcPr>
            <w:tcW w:type="dxa" w:w="3846"/>
            <w:shd w:val="clear" w:color="auto" w:fill="F2F5F8"/>
          </w:tcPr>
          <w:p>
            <w:pPr>
              <w:spacing w:after="0"/>
              <w:jc w:val="left"/>
            </w:pPr>
            <w:r/>
            <w:r>
              <w:rPr>
                <w:rFonts w:ascii="Calibri" w:hAnsi="Calibri"/>
                <w:b/>
                <w:color w:val="1A1A1A"/>
                <w:sz w:val="24"/>
              </w:rPr>
              <w:t>Evidência a arquivar</w:t>
            </w:r>
          </w:p>
        </w:tc>
        <w:tc>
          <w:tcPr>
            <w:tcW w:type="dxa" w:w="5226"/>
            <w:shd w:val="clear" w:color="auto" w:fill="F2F5F8"/>
          </w:tcPr>
          <w:p>
            <w:pPr>
              <w:spacing w:after="0"/>
              <w:jc w:val="left"/>
            </w:pPr>
            <w:r/>
            <w:r>
              <w:rPr>
                <w:rFonts w:ascii="Calibri" w:hAnsi="Calibri"/>
                <w:b w:val="0"/>
                <w:color w:val="1A1A1A"/>
                <w:sz w:val="24"/>
              </w:rPr>
              <w:t>Registro de treinamento, plano de manutenção, verificação de desempenho, kit de resposta e requisitos elétricos e ambientais atendidos.</w:t>
            </w:r>
          </w:p>
        </w:tc>
      </w:tr>
      <w:tr>
        <w:trPr>
          <w:cantSplit/>
        </w:trPr>
        <w:tc>
          <w:tcPr>
            <w:tcW w:type="dxa" w:w="3846"/>
          </w:tcPr>
          <w:p>
            <w:pPr>
              <w:spacing w:after="0"/>
              <w:jc w:val="left"/>
            </w:pPr>
            <w:r/>
            <w:r>
              <w:rPr>
                <w:rFonts w:ascii="Calibri" w:hAnsi="Calibri"/>
                <w:b/>
                <w:color w:val="1A1A1A"/>
                <w:sz w:val="24"/>
              </w:rPr>
              <w:t>O que esta dimensão evita</w:t>
            </w:r>
          </w:p>
        </w:tc>
        <w:tc>
          <w:tcPr>
            <w:tcW w:type="dxa" w:w="5226"/>
          </w:tcPr>
          <w:p>
            <w:pPr>
              <w:spacing w:after="0"/>
              <w:jc w:val="left"/>
            </w:pPr>
            <w:r/>
            <w:r>
              <w:rPr>
                <w:rFonts w:ascii="Calibri" w:hAnsi="Calibri"/>
                <w:b w:val="0"/>
                <w:color w:val="1A1A1A"/>
                <w:sz w:val="24"/>
              </w:rPr>
              <w:t>Aprovar tecnologia no papel e implantá-la em serviço sem condições de operá-la com segurança.</w:t>
            </w:r>
          </w:p>
        </w:tc>
      </w:tr>
    </w:tbl>
    <w:p>
      <w:pPr>
        <w:keepNext/>
        <w:spacing w:before="240" w:after="80"/>
        <w:jc w:val="left"/>
      </w:pPr>
      <w:r>
        <w:rPr>
          <w:rFonts w:ascii="Calibri" w:hAnsi="Calibri"/>
          <w:b/>
          <w:color w:val="143C64"/>
          <w:sz w:val="26"/>
        </w:rPr>
        <w:t>8. Governança de dados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53"/>
        <w:gridCol w:w="5319"/>
      </w:tblGrid>
      <w:tr>
        <w:trPr>
          <w:cantSplit/>
          <w:tblHeader/>
        </w:trPr>
        <w:tc>
          <w:tcPr>
            <w:tcW w:type="dxa" w:w="3753"/>
            <w:shd w:val="clear" w:color="auto" w:fill="143C64"/>
          </w:tcPr>
          <w:p>
            <w:pPr>
              <w:spacing w:after="0"/>
              <w:jc w:val="left"/>
            </w:pPr>
            <w:r/>
            <w:r>
              <w:rPr>
                <w:rFonts w:ascii="Calibri" w:hAnsi="Calibri"/>
                <w:b/>
                <w:color w:val="FFFFFF"/>
                <w:sz w:val="24"/>
              </w:rPr>
              <w:t>Elemento</w:t>
            </w:r>
          </w:p>
        </w:tc>
        <w:tc>
          <w:tcPr>
            <w:tcW w:type="dxa" w:w="5319"/>
            <w:shd w:val="clear" w:color="auto" w:fill="143C64"/>
          </w:tcPr>
          <w:p>
            <w:pPr>
              <w:spacing w:after="0"/>
              <w:jc w:val="left"/>
            </w:pPr>
            <w:r/>
            <w:r>
              <w:rPr>
                <w:rFonts w:ascii="Calibri" w:hAnsi="Calibri"/>
                <w:b/>
                <w:color w:val="FFFFFF"/>
                <w:sz w:val="24"/>
              </w:rPr>
              <w:t>Conteúdo</w:t>
            </w:r>
          </w:p>
        </w:tc>
      </w:tr>
      <w:tr>
        <w:trPr>
          <w:cantSplit/>
        </w:trPr>
        <w:tc>
          <w:tcPr>
            <w:tcW w:type="dxa" w:w="3753"/>
          </w:tcPr>
          <w:p>
            <w:pPr>
              <w:spacing w:after="0"/>
              <w:jc w:val="left"/>
            </w:pPr>
            <w:r/>
            <w:r>
              <w:rPr>
                <w:rFonts w:ascii="Calibri" w:hAnsi="Calibri"/>
                <w:b/>
                <w:color w:val="1A1A1A"/>
                <w:sz w:val="24"/>
              </w:rPr>
              <w:t>Pergunta orientadora</w:t>
            </w:r>
          </w:p>
        </w:tc>
        <w:tc>
          <w:tcPr>
            <w:tcW w:type="dxa" w:w="5319"/>
          </w:tcPr>
          <w:p>
            <w:pPr>
              <w:spacing w:after="0"/>
              <w:jc w:val="left"/>
            </w:pPr>
            <w:r/>
            <w:r>
              <w:rPr>
                <w:rFonts w:ascii="Calibri" w:hAnsi="Calibri"/>
                <w:b w:val="0"/>
                <w:color w:val="1A1A1A"/>
                <w:sz w:val="24"/>
              </w:rPr>
              <w:t>Há tratamento de dados pessoais, imagens clínicas ou uso de software, e existe base legal, finalidade definida e controle de acesso e retenção?</w:t>
            </w:r>
          </w:p>
        </w:tc>
      </w:tr>
      <w:tr>
        <w:trPr>
          <w:cantSplit/>
        </w:trPr>
        <w:tc>
          <w:tcPr>
            <w:tcW w:type="dxa" w:w="3753"/>
            <w:shd w:val="clear" w:color="auto" w:fill="F2F5F8"/>
          </w:tcPr>
          <w:p>
            <w:pPr>
              <w:spacing w:after="0"/>
              <w:jc w:val="left"/>
            </w:pPr>
            <w:r/>
            <w:r>
              <w:rPr>
                <w:rFonts w:ascii="Calibri" w:hAnsi="Calibri"/>
                <w:b/>
                <w:color w:val="1A1A1A"/>
                <w:sz w:val="24"/>
              </w:rPr>
              <w:t>Evidência a arquivar</w:t>
            </w:r>
          </w:p>
        </w:tc>
        <w:tc>
          <w:tcPr>
            <w:tcW w:type="dxa" w:w="5319"/>
            <w:shd w:val="clear" w:color="auto" w:fill="F2F5F8"/>
          </w:tcPr>
          <w:p>
            <w:pPr>
              <w:spacing w:after="0"/>
              <w:jc w:val="left"/>
            </w:pPr>
            <w:r/>
            <w:r>
              <w:rPr>
                <w:rFonts w:ascii="Calibri" w:hAnsi="Calibri"/>
                <w:b w:val="0"/>
                <w:color w:val="1A1A1A"/>
                <w:sz w:val="24"/>
              </w:rPr>
              <w:t>Finalidade declarada, base legal, consentimento específico quando aplicável, política de acesso, retenção e eliminação.</w:t>
            </w:r>
          </w:p>
        </w:tc>
      </w:tr>
      <w:tr>
        <w:trPr>
          <w:cantSplit/>
        </w:trPr>
        <w:tc>
          <w:tcPr>
            <w:tcW w:type="dxa" w:w="3753"/>
          </w:tcPr>
          <w:p>
            <w:pPr>
              <w:spacing w:after="0"/>
              <w:jc w:val="left"/>
            </w:pPr>
            <w:r/>
            <w:r>
              <w:rPr>
                <w:rFonts w:ascii="Calibri" w:hAnsi="Calibri"/>
                <w:b/>
                <w:color w:val="1A1A1A"/>
                <w:sz w:val="24"/>
              </w:rPr>
              <w:t>O que esta dimensão evita</w:t>
            </w:r>
          </w:p>
        </w:tc>
        <w:tc>
          <w:tcPr>
            <w:tcW w:type="dxa" w:w="5319"/>
          </w:tcPr>
          <w:p>
            <w:pPr>
              <w:spacing w:after="0"/>
              <w:jc w:val="left"/>
            </w:pPr>
            <w:r/>
            <w:r>
              <w:rPr>
                <w:rFonts w:ascii="Calibri" w:hAnsi="Calibri"/>
                <w:b w:val="0"/>
                <w:color w:val="1A1A1A"/>
                <w:sz w:val="24"/>
              </w:rPr>
              <w:t>Coletar e armazenar imagem e dado de saúde sem base legal, criando exposição desnecessária.</w:t>
            </w:r>
          </w:p>
        </w:tc>
      </w:tr>
    </w:tbl>
    <w:p>
      <w:r>
        <w:br w:type="page"/>
      </w:r>
    </w:p>
    <w:p>
      <w:pPr>
        <w:keepNext/>
        <w:spacing w:before="360" w:after="160"/>
        <w:jc w:val="left"/>
        <w:pBdr>
          <w:bottom w:val="single" w:sz="8" w:space="4" w:color="143C64"/>
        </w:pBdr>
      </w:pPr>
      <w:r>
        <w:rPr>
          <w:rFonts w:ascii="Calibri" w:hAnsi="Calibri"/>
          <w:b/>
          <w:color w:val="143C64"/>
          <w:sz w:val="30"/>
        </w:rPr>
        <w:t>3  Rubrica de classificação por dimensão</w:t>
      </w:r>
    </w:p>
    <w:p>
      <w:pPr>
        <w:spacing w:after="120"/>
        <w:jc w:val="both"/>
      </w:pPr>
      <w:r>
        <w:rPr>
          <w:rFonts w:ascii="Calibri" w:hAnsi="Calibri"/>
          <w:b w:val="0"/>
          <w:i w:val="0"/>
          <w:color w:val="1A1A1A"/>
          <w:sz w:val="24"/>
        </w:rPr>
        <w:t>Cada dimensão recebe uma das quatro classificações abaixo. A classificação deve vir acompanhada da evidência que a justifica. Classificação sem evidência arquivada é nula para efeito de conclusão.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992"/>
        <w:gridCol w:w="2868"/>
        <w:gridCol w:w="3212"/>
      </w:tblGrid>
      <w:tr>
        <w:trPr>
          <w:cantSplit/>
          <w:tblHeader/>
        </w:trPr>
        <w:tc>
          <w:tcPr>
            <w:tcW w:type="dxa" w:w="2992"/>
            <w:shd w:val="clear" w:color="auto" w:fill="143C64"/>
          </w:tcPr>
          <w:p>
            <w:pPr>
              <w:spacing w:after="0"/>
              <w:jc w:val="left"/>
            </w:pPr>
            <w:r/>
            <w:r>
              <w:rPr>
                <w:rFonts w:ascii="Calibri" w:hAnsi="Calibri"/>
                <w:b/>
                <w:color w:val="FFFFFF"/>
                <w:sz w:val="24"/>
              </w:rPr>
              <w:t>Classificação</w:t>
            </w:r>
          </w:p>
        </w:tc>
        <w:tc>
          <w:tcPr>
            <w:tcW w:type="dxa" w:w="2868"/>
            <w:shd w:val="clear" w:color="auto" w:fill="143C64"/>
          </w:tcPr>
          <w:p>
            <w:pPr>
              <w:spacing w:after="0"/>
              <w:jc w:val="left"/>
            </w:pPr>
            <w:r/>
            <w:r>
              <w:rPr>
                <w:rFonts w:ascii="Calibri" w:hAnsi="Calibri"/>
                <w:b/>
                <w:color w:val="FFFFFF"/>
                <w:sz w:val="24"/>
              </w:rPr>
              <w:t>Significado</w:t>
            </w:r>
          </w:p>
        </w:tc>
        <w:tc>
          <w:tcPr>
            <w:tcW w:type="dxa" w:w="3212"/>
            <w:shd w:val="clear" w:color="auto" w:fill="143C64"/>
          </w:tcPr>
          <w:p>
            <w:pPr>
              <w:spacing w:after="0"/>
              <w:jc w:val="left"/>
            </w:pPr>
            <w:r/>
            <w:r>
              <w:rPr>
                <w:rFonts w:ascii="Calibri" w:hAnsi="Calibri"/>
                <w:b/>
                <w:color w:val="FFFFFF"/>
                <w:sz w:val="24"/>
              </w:rPr>
              <w:t>Consequência</w:t>
            </w:r>
          </w:p>
        </w:tc>
      </w:tr>
      <w:tr>
        <w:trPr>
          <w:cantSplit/>
        </w:trPr>
        <w:tc>
          <w:tcPr>
            <w:tcW w:type="dxa" w:w="2992"/>
          </w:tcPr>
          <w:p>
            <w:pPr>
              <w:spacing w:after="0"/>
              <w:jc w:val="left"/>
            </w:pPr>
            <w:r/>
            <w:r>
              <w:rPr>
                <w:rFonts w:ascii="Calibri" w:hAnsi="Calibri"/>
                <w:b/>
                <w:color w:val="1A1A1A"/>
                <w:sz w:val="24"/>
              </w:rPr>
              <w:t>A. Atendida</w:t>
            </w:r>
          </w:p>
        </w:tc>
        <w:tc>
          <w:tcPr>
            <w:tcW w:type="dxa" w:w="2868"/>
          </w:tcPr>
          <w:p>
            <w:pPr>
              <w:spacing w:after="0"/>
              <w:jc w:val="left"/>
            </w:pPr>
            <w:r/>
            <w:r>
              <w:rPr>
                <w:rFonts w:ascii="Calibri" w:hAnsi="Calibri"/>
                <w:b w:val="0"/>
                <w:color w:val="1A1A1A"/>
                <w:sz w:val="24"/>
              </w:rPr>
              <w:t>A dimensão está satisfeita e a evidência está arquivada.</w:t>
            </w:r>
          </w:p>
        </w:tc>
        <w:tc>
          <w:tcPr>
            <w:tcW w:type="dxa" w:w="3212"/>
          </w:tcPr>
          <w:p>
            <w:pPr>
              <w:spacing w:after="0"/>
              <w:jc w:val="left"/>
            </w:pPr>
            <w:r/>
            <w:r>
              <w:rPr>
                <w:rFonts w:ascii="Calibri" w:hAnsi="Calibri"/>
                <w:b w:val="0"/>
                <w:color w:val="1A1A1A"/>
                <w:sz w:val="24"/>
              </w:rPr>
              <w:t>Não impede a adoção.</w:t>
            </w:r>
          </w:p>
        </w:tc>
      </w:tr>
      <w:tr>
        <w:trPr>
          <w:cantSplit/>
        </w:trPr>
        <w:tc>
          <w:tcPr>
            <w:tcW w:type="dxa" w:w="2992"/>
            <w:shd w:val="clear" w:color="auto" w:fill="F2F5F8"/>
          </w:tcPr>
          <w:p>
            <w:pPr>
              <w:spacing w:after="0"/>
              <w:jc w:val="left"/>
            </w:pPr>
            <w:r/>
            <w:r>
              <w:rPr>
                <w:rFonts w:ascii="Calibri" w:hAnsi="Calibri"/>
                <w:b/>
                <w:color w:val="1A1A1A"/>
                <w:sz w:val="24"/>
              </w:rPr>
              <w:t>B. Atendida com condição</w:t>
            </w:r>
          </w:p>
        </w:tc>
        <w:tc>
          <w:tcPr>
            <w:tcW w:type="dxa" w:w="2868"/>
            <w:shd w:val="clear" w:color="auto" w:fill="F2F5F8"/>
          </w:tcPr>
          <w:p>
            <w:pPr>
              <w:spacing w:after="0"/>
              <w:jc w:val="left"/>
            </w:pPr>
            <w:r/>
            <w:r>
              <w:rPr>
                <w:rFonts w:ascii="Calibri" w:hAnsi="Calibri"/>
                <w:b w:val="0"/>
                <w:color w:val="1A1A1A"/>
                <w:sz w:val="24"/>
              </w:rPr>
              <w:t>A dimensão é satisfeita apenas se uma condição explícita for cumprida e verificável.</w:t>
            </w:r>
          </w:p>
        </w:tc>
        <w:tc>
          <w:tcPr>
            <w:tcW w:type="dxa" w:w="3212"/>
            <w:shd w:val="clear" w:color="auto" w:fill="F2F5F8"/>
          </w:tcPr>
          <w:p>
            <w:pPr>
              <w:spacing w:after="0"/>
              <w:jc w:val="left"/>
            </w:pPr>
            <w:r/>
            <w:r>
              <w:rPr>
                <w:rFonts w:ascii="Calibri" w:hAnsi="Calibri"/>
                <w:b w:val="0"/>
                <w:color w:val="1A1A1A"/>
                <w:sz w:val="24"/>
              </w:rPr>
              <w:t>A condição passa a integrar o POP e o plano de monitoramento.</w:t>
            </w:r>
          </w:p>
        </w:tc>
      </w:tr>
      <w:tr>
        <w:trPr>
          <w:cantSplit/>
        </w:trPr>
        <w:tc>
          <w:tcPr>
            <w:tcW w:type="dxa" w:w="2992"/>
          </w:tcPr>
          <w:p>
            <w:pPr>
              <w:spacing w:after="0"/>
              <w:jc w:val="left"/>
            </w:pPr>
            <w:r/>
            <w:r>
              <w:rPr>
                <w:rFonts w:ascii="Calibri" w:hAnsi="Calibri"/>
                <w:b/>
                <w:color w:val="1A1A1A"/>
                <w:sz w:val="24"/>
              </w:rPr>
              <w:t>C. Não atendida</w:t>
            </w:r>
          </w:p>
        </w:tc>
        <w:tc>
          <w:tcPr>
            <w:tcW w:type="dxa" w:w="2868"/>
          </w:tcPr>
          <w:p>
            <w:pPr>
              <w:spacing w:after="0"/>
              <w:jc w:val="left"/>
            </w:pPr>
            <w:r/>
            <w:r>
              <w:rPr>
                <w:rFonts w:ascii="Calibri" w:hAnsi="Calibri"/>
                <w:b w:val="0"/>
                <w:color w:val="1A1A1A"/>
                <w:sz w:val="24"/>
              </w:rPr>
              <w:t>A dimensão não é satisfeita com a evidência disponível.</w:t>
            </w:r>
          </w:p>
        </w:tc>
        <w:tc>
          <w:tcPr>
            <w:tcW w:type="dxa" w:w="3212"/>
          </w:tcPr>
          <w:p>
            <w:pPr>
              <w:spacing w:after="0"/>
              <w:jc w:val="left"/>
            </w:pPr>
            <w:r/>
            <w:r>
              <w:rPr>
                <w:rFonts w:ascii="Calibri" w:hAnsi="Calibri"/>
                <w:b w:val="0"/>
                <w:color w:val="1A1A1A"/>
                <w:sz w:val="24"/>
              </w:rPr>
              <w:t>Impede a adoção enquanto persistir.</w:t>
            </w:r>
          </w:p>
        </w:tc>
      </w:tr>
      <w:tr>
        <w:trPr>
          <w:cantSplit/>
        </w:trPr>
        <w:tc>
          <w:tcPr>
            <w:tcW w:type="dxa" w:w="2992"/>
            <w:shd w:val="clear" w:color="auto" w:fill="F2F5F8"/>
          </w:tcPr>
          <w:p>
            <w:pPr>
              <w:spacing w:after="0"/>
              <w:jc w:val="left"/>
            </w:pPr>
            <w:r/>
            <w:r>
              <w:rPr>
                <w:rFonts w:ascii="Calibri" w:hAnsi="Calibri"/>
                <w:b/>
                <w:color w:val="1A1A1A"/>
                <w:sz w:val="24"/>
              </w:rPr>
              <w:t>D. Informação insuficiente</w:t>
            </w:r>
          </w:p>
        </w:tc>
        <w:tc>
          <w:tcPr>
            <w:tcW w:type="dxa" w:w="2868"/>
            <w:shd w:val="clear" w:color="auto" w:fill="F2F5F8"/>
          </w:tcPr>
          <w:p>
            <w:pPr>
              <w:spacing w:after="0"/>
              <w:jc w:val="left"/>
            </w:pPr>
            <w:r/>
            <w:r>
              <w:rPr>
                <w:rFonts w:ascii="Calibri" w:hAnsi="Calibri"/>
                <w:b w:val="0"/>
                <w:color w:val="1A1A1A"/>
                <w:sz w:val="24"/>
              </w:rPr>
              <w:t>Não há informação suficiente para classificar.</w:t>
            </w:r>
          </w:p>
        </w:tc>
        <w:tc>
          <w:tcPr>
            <w:tcW w:type="dxa" w:w="3212"/>
            <w:shd w:val="clear" w:color="auto" w:fill="F2F5F8"/>
          </w:tcPr>
          <w:p>
            <w:pPr>
              <w:spacing w:after="0"/>
              <w:jc w:val="left"/>
            </w:pPr>
            <w:r/>
            <w:r>
              <w:rPr>
                <w:rFonts w:ascii="Calibri" w:hAnsi="Calibri"/>
                <w:b w:val="0"/>
                <w:color w:val="1A1A1A"/>
                <w:sz w:val="24"/>
              </w:rPr>
              <w:t>Equivale a não atendida para fins de decisão, e gera pendência declarada.</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Por que D equivale a C na decisão, mas não no registro</w:t>
            </w:r>
          </w:p>
          <w:p>
            <w:pPr>
              <w:spacing w:after="0"/>
              <w:jc w:val="both"/>
            </w:pPr>
            <w:r>
              <w:rPr>
                <w:rFonts w:ascii="Calibri" w:hAnsi="Calibri"/>
                <w:color w:val="1A1A1A"/>
                <w:sz w:val="24"/>
              </w:rPr>
              <w:t>Ausência de informação não é evidência de segurança. Para efeito de decisão, a insuficiência bloqueia a adoção do mesmo modo que o não atendimento. Para efeito de registro, porém, as duas situações são diferentes: C indica que se procurou e não se encontrou sustentação, D indica que a busca foi insuficiente ou não foi feita. Confundir as duas leva o Núcleo a rejeitar tecnologia por falta de trabalho próprio.</w:t>
            </w:r>
          </w:p>
        </w:tc>
      </w:tr>
    </w:tbl>
    <w:p>
      <w:pPr>
        <w:spacing w:after="80"/>
      </w:pPr>
    </w:p>
    <w:p>
      <w:pPr>
        <w:keepNext/>
        <w:spacing w:before="360" w:after="160"/>
        <w:jc w:val="left"/>
        <w:pBdr>
          <w:bottom w:val="single" w:sz="8" w:space="4" w:color="143C64"/>
        </w:pBdr>
      </w:pPr>
      <w:r>
        <w:rPr>
          <w:rFonts w:ascii="Calibri" w:hAnsi="Calibri"/>
          <w:b/>
          <w:color w:val="143C64"/>
          <w:sz w:val="30"/>
        </w:rPr>
        <w:t>4  Regra de conclusão</w:t>
      </w:r>
    </w:p>
    <w:p>
      <w:pPr>
        <w:spacing w:after="120"/>
        <w:jc w:val="both"/>
      </w:pPr>
      <w:r>
        <w:rPr>
          <w:rFonts w:ascii="Calibri" w:hAnsi="Calibri"/>
          <w:b w:val="0"/>
          <w:i w:val="0"/>
          <w:color w:val="1A1A1A"/>
          <w:sz w:val="24"/>
        </w:rPr>
        <w:t>A conclusão é derivada das classificações, e não formada antes delas. A sequência abaixo é obrigatória e deve ser percorrida na ordem.</w:t>
      </w:r>
    </w:p>
    <w:p>
      <w:pPr>
        <w:pStyle w:val="ListNumber"/>
        <w:spacing w:after="60"/>
        <w:ind w:left="397"/>
        <w:jc w:val="both"/>
      </w:pPr>
      <w:r>
        <w:rPr>
          <w:rFonts w:ascii="Calibri" w:hAnsi="Calibri"/>
          <w:color w:val="1A1A1A"/>
          <w:sz w:val="24"/>
        </w:rPr>
        <w:t>Se a dimensão 1 for C ou D, encerrar como não adotável no momento. Não prosseguir.</w:t>
      </w:r>
    </w:p>
    <w:p>
      <w:pPr>
        <w:pStyle w:val="ListNumber"/>
        <w:spacing w:after="60"/>
        <w:ind w:left="397"/>
        <w:jc w:val="both"/>
      </w:pPr>
      <w:r>
        <w:rPr>
          <w:rFonts w:ascii="Calibri" w:hAnsi="Calibri"/>
          <w:color w:val="1A1A1A"/>
          <w:sz w:val="24"/>
        </w:rPr>
        <w:t>Se a dimensão 6 for C, encerrar como fora do escopo profissional. Não prosseguir.</w:t>
      </w:r>
    </w:p>
    <w:p>
      <w:pPr>
        <w:pStyle w:val="ListNumber"/>
        <w:spacing w:after="60"/>
        <w:ind w:left="397"/>
        <w:jc w:val="both"/>
      </w:pPr>
      <w:r>
        <w:rPr>
          <w:rFonts w:ascii="Calibri" w:hAnsi="Calibri"/>
          <w:color w:val="1A1A1A"/>
          <w:sz w:val="24"/>
        </w:rPr>
        <w:t>Se a indicação pretendida não coincidir com a finalidade aprovada, classificar como uso fora da indicação aprovada e aplicar a análise específica prevista no Manual.</w:t>
      </w:r>
    </w:p>
    <w:p>
      <w:pPr>
        <w:pStyle w:val="ListNumber"/>
        <w:spacing w:after="60"/>
        <w:ind w:left="397"/>
        <w:jc w:val="both"/>
      </w:pPr>
      <w:r>
        <w:rPr>
          <w:rFonts w:ascii="Calibri" w:hAnsi="Calibri"/>
          <w:color w:val="1A1A1A"/>
          <w:sz w:val="24"/>
        </w:rPr>
        <w:t>Se qualquer dimensão de 2 a 5 for C, classificar como não recomendada no momento, com a dimensão deficiente nomeada.</w:t>
      </w:r>
    </w:p>
    <w:p>
      <w:pPr>
        <w:pStyle w:val="ListNumber"/>
        <w:spacing w:after="60"/>
        <w:ind w:left="397"/>
        <w:jc w:val="both"/>
      </w:pPr>
      <w:r>
        <w:rPr>
          <w:rFonts w:ascii="Calibri" w:hAnsi="Calibri"/>
          <w:color w:val="1A1A1A"/>
          <w:sz w:val="24"/>
        </w:rPr>
        <w:t>Se as dimensões 7 ou 8 forem C, classificar como não implantável neste serviço, distinguindo o mérito da tecnologia da capacidade do serviço.</w:t>
      </w:r>
    </w:p>
    <w:p>
      <w:pPr>
        <w:pStyle w:val="ListNumber"/>
        <w:spacing w:after="60"/>
        <w:ind w:left="397"/>
        <w:jc w:val="both"/>
      </w:pPr>
      <w:r>
        <w:rPr>
          <w:rFonts w:ascii="Calibri" w:hAnsi="Calibri"/>
          <w:color w:val="1A1A1A"/>
          <w:sz w:val="24"/>
        </w:rPr>
        <w:t>Se houver qualquer B, a adoção é condicionada, e todas as condições devem constar do parecer, do POP e do plano de monitoramento.</w:t>
      </w:r>
    </w:p>
    <w:p>
      <w:pPr>
        <w:pStyle w:val="ListNumber"/>
        <w:spacing w:after="60"/>
        <w:ind w:left="397"/>
        <w:jc w:val="both"/>
      </w:pPr>
      <w:r>
        <w:rPr>
          <w:rFonts w:ascii="Calibri" w:hAnsi="Calibri"/>
          <w:color w:val="1A1A1A"/>
          <w:sz w:val="24"/>
        </w:rPr>
        <w:t>Se todas forem A, classificar como adotável, ainda assim com plano de monitoramento e data de reavaliação definidos.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844"/>
        <w:gridCol w:w="5228"/>
      </w:tblGrid>
      <w:tr>
        <w:trPr>
          <w:cantSplit/>
          <w:tblHeader/>
        </w:trPr>
        <w:tc>
          <w:tcPr>
            <w:tcW w:type="dxa" w:w="3844"/>
            <w:shd w:val="clear" w:color="auto" w:fill="143C64"/>
          </w:tcPr>
          <w:p>
            <w:pPr>
              <w:spacing w:after="0"/>
              <w:jc w:val="left"/>
            </w:pPr>
            <w:r/>
            <w:r>
              <w:rPr>
                <w:rFonts w:ascii="Calibri" w:hAnsi="Calibri"/>
                <w:b/>
                <w:color w:val="FFFFFF"/>
                <w:sz w:val="24"/>
              </w:rPr>
              <w:t>Conclusão possível</w:t>
            </w:r>
          </w:p>
        </w:tc>
        <w:tc>
          <w:tcPr>
            <w:tcW w:type="dxa" w:w="5228"/>
            <w:shd w:val="clear" w:color="auto" w:fill="143C64"/>
          </w:tcPr>
          <w:p>
            <w:pPr>
              <w:spacing w:after="0"/>
              <w:jc w:val="left"/>
            </w:pPr>
            <w:r/>
            <w:r>
              <w:rPr>
                <w:rFonts w:ascii="Calibri" w:hAnsi="Calibri"/>
                <w:b/>
                <w:color w:val="FFFFFF"/>
                <w:sz w:val="24"/>
              </w:rPr>
              <w:t>Redação institucional correspondente</w:t>
            </w:r>
          </w:p>
        </w:tc>
      </w:tr>
      <w:tr>
        <w:trPr>
          <w:cantSplit/>
        </w:trPr>
        <w:tc>
          <w:tcPr>
            <w:tcW w:type="dxa" w:w="3844"/>
          </w:tcPr>
          <w:p>
            <w:pPr>
              <w:spacing w:after="0"/>
              <w:jc w:val="left"/>
            </w:pPr>
            <w:r/>
            <w:r>
              <w:rPr>
                <w:rFonts w:ascii="Calibri" w:hAnsi="Calibri"/>
                <w:b/>
                <w:color w:val="1A1A1A"/>
                <w:sz w:val="24"/>
              </w:rPr>
              <w:t>Adotável</w:t>
            </w:r>
          </w:p>
        </w:tc>
        <w:tc>
          <w:tcPr>
            <w:tcW w:type="dxa" w:w="5228"/>
          </w:tcPr>
          <w:p>
            <w:pPr>
              <w:spacing w:after="0"/>
              <w:jc w:val="left"/>
            </w:pPr>
            <w:r/>
            <w:r>
              <w:rPr>
                <w:rFonts w:ascii="Calibri" w:hAnsi="Calibri"/>
                <w:b w:val="0"/>
                <w:color w:val="1A1A1A"/>
                <w:sz w:val="24"/>
              </w:rPr>
              <w:t>Tecnologia com sustentação suficiente nas oito dimensões, condicionada a POP, registro e reavaliação programada.</w:t>
            </w:r>
          </w:p>
        </w:tc>
      </w:tr>
      <w:tr>
        <w:trPr>
          <w:cantSplit/>
        </w:trPr>
        <w:tc>
          <w:tcPr>
            <w:tcW w:type="dxa" w:w="3844"/>
            <w:shd w:val="clear" w:color="auto" w:fill="F2F5F8"/>
          </w:tcPr>
          <w:p>
            <w:pPr>
              <w:spacing w:after="0"/>
              <w:jc w:val="left"/>
            </w:pPr>
            <w:r/>
            <w:r>
              <w:rPr>
                <w:rFonts w:ascii="Calibri" w:hAnsi="Calibri"/>
                <w:b/>
                <w:color w:val="1A1A1A"/>
                <w:sz w:val="24"/>
              </w:rPr>
              <w:t>Adoção condicionada</w:t>
            </w:r>
          </w:p>
        </w:tc>
        <w:tc>
          <w:tcPr>
            <w:tcW w:type="dxa" w:w="5228"/>
            <w:shd w:val="clear" w:color="auto" w:fill="F2F5F8"/>
          </w:tcPr>
          <w:p>
            <w:pPr>
              <w:spacing w:after="0"/>
              <w:jc w:val="left"/>
            </w:pPr>
            <w:r/>
            <w:r>
              <w:rPr>
                <w:rFonts w:ascii="Calibri" w:hAnsi="Calibri"/>
                <w:b w:val="0"/>
                <w:color w:val="1A1A1A"/>
                <w:sz w:val="24"/>
              </w:rPr>
              <w:t>Tecnologia adotável desde que cumpridas as condições nomeadas, verificáveis e incorporadas ao POP.</w:t>
            </w:r>
          </w:p>
        </w:tc>
      </w:tr>
      <w:tr>
        <w:trPr>
          <w:cantSplit/>
        </w:trPr>
        <w:tc>
          <w:tcPr>
            <w:tcW w:type="dxa" w:w="3844"/>
          </w:tcPr>
          <w:p>
            <w:pPr>
              <w:spacing w:after="0"/>
              <w:jc w:val="left"/>
            </w:pPr>
            <w:r/>
            <w:r>
              <w:rPr>
                <w:rFonts w:ascii="Calibri" w:hAnsi="Calibri"/>
                <w:b/>
                <w:color w:val="1A1A1A"/>
                <w:sz w:val="24"/>
              </w:rPr>
              <w:t>Não implantável neste serviço</w:t>
            </w:r>
          </w:p>
        </w:tc>
        <w:tc>
          <w:tcPr>
            <w:tcW w:type="dxa" w:w="5228"/>
          </w:tcPr>
          <w:p>
            <w:pPr>
              <w:spacing w:after="0"/>
              <w:jc w:val="left"/>
            </w:pPr>
            <w:r/>
            <w:r>
              <w:rPr>
                <w:rFonts w:ascii="Calibri" w:hAnsi="Calibri"/>
                <w:b w:val="0"/>
                <w:color w:val="1A1A1A"/>
                <w:sz w:val="24"/>
              </w:rPr>
              <w:t>Tecnologia sem óbice de mérito, porém sem condições locais de capacitação, infraestrutura ou governança de dados.</w:t>
            </w:r>
          </w:p>
        </w:tc>
      </w:tr>
      <w:tr>
        <w:trPr>
          <w:cantSplit/>
        </w:trPr>
        <w:tc>
          <w:tcPr>
            <w:tcW w:type="dxa" w:w="3844"/>
            <w:shd w:val="clear" w:color="auto" w:fill="F2F5F8"/>
          </w:tcPr>
          <w:p>
            <w:pPr>
              <w:spacing w:after="0"/>
              <w:jc w:val="left"/>
            </w:pPr>
            <w:r/>
            <w:r>
              <w:rPr>
                <w:rFonts w:ascii="Calibri" w:hAnsi="Calibri"/>
                <w:b/>
                <w:color w:val="1A1A1A"/>
                <w:sz w:val="24"/>
              </w:rPr>
              <w:t>Não recomendada no momento</w:t>
            </w:r>
          </w:p>
        </w:tc>
        <w:tc>
          <w:tcPr>
            <w:tcW w:type="dxa" w:w="5228"/>
            <w:shd w:val="clear" w:color="auto" w:fill="F2F5F8"/>
          </w:tcPr>
          <w:p>
            <w:pPr>
              <w:spacing w:after="0"/>
              <w:jc w:val="left"/>
            </w:pPr>
            <w:r/>
            <w:r>
              <w:rPr>
                <w:rFonts w:ascii="Calibri" w:hAnsi="Calibri"/>
                <w:b w:val="0"/>
                <w:color w:val="1A1A1A"/>
                <w:sz w:val="24"/>
              </w:rPr>
              <w:t>Tecnologia cuja evidência, segurança, reprodutibilidade ou reversibilidade não sustenta recomendação na data da análise.</w:t>
            </w:r>
          </w:p>
        </w:tc>
      </w:tr>
      <w:tr>
        <w:trPr>
          <w:cantSplit/>
        </w:trPr>
        <w:tc>
          <w:tcPr>
            <w:tcW w:type="dxa" w:w="3844"/>
          </w:tcPr>
          <w:p>
            <w:pPr>
              <w:spacing w:after="0"/>
              <w:jc w:val="left"/>
            </w:pPr>
            <w:r/>
            <w:r>
              <w:rPr>
                <w:rFonts w:ascii="Calibri" w:hAnsi="Calibri"/>
                <w:b/>
                <w:color w:val="1A1A1A"/>
                <w:sz w:val="24"/>
              </w:rPr>
              <w:t>Não adotável</w:t>
            </w:r>
          </w:p>
        </w:tc>
        <w:tc>
          <w:tcPr>
            <w:tcW w:type="dxa" w:w="5228"/>
          </w:tcPr>
          <w:p>
            <w:pPr>
              <w:spacing w:after="0"/>
              <w:jc w:val="left"/>
            </w:pPr>
            <w:r/>
            <w:r>
              <w:rPr>
                <w:rFonts w:ascii="Calibri" w:hAnsi="Calibri"/>
                <w:b w:val="0"/>
                <w:color w:val="1A1A1A"/>
                <w:sz w:val="24"/>
              </w:rPr>
              <w:t>Tecnologia sem regularização válida ou fora do escopo profissional.</w:t>
            </w:r>
          </w:p>
        </w:tc>
      </w:tr>
      <w:tr>
        <w:trPr>
          <w:cantSplit/>
        </w:trPr>
        <w:tc>
          <w:tcPr>
            <w:tcW w:type="dxa" w:w="3844"/>
            <w:shd w:val="clear" w:color="auto" w:fill="F2F5F8"/>
          </w:tcPr>
          <w:p>
            <w:pPr>
              <w:spacing w:after="0"/>
              <w:jc w:val="left"/>
            </w:pPr>
            <w:r/>
            <w:r>
              <w:rPr>
                <w:rFonts w:ascii="Calibri" w:hAnsi="Calibri"/>
                <w:b/>
                <w:color w:val="1A1A1A"/>
                <w:sz w:val="24"/>
              </w:rPr>
              <w:t>Monitoramento de horizonte</w:t>
            </w:r>
          </w:p>
        </w:tc>
        <w:tc>
          <w:tcPr>
            <w:tcW w:type="dxa" w:w="5228"/>
            <w:shd w:val="clear" w:color="auto" w:fill="F2F5F8"/>
          </w:tcPr>
          <w:p>
            <w:pPr>
              <w:spacing w:after="0"/>
              <w:jc w:val="left"/>
            </w:pPr>
            <w:r/>
            <w:r>
              <w:rPr>
                <w:rFonts w:ascii="Calibri" w:hAnsi="Calibri"/>
                <w:b w:val="0"/>
                <w:color w:val="1A1A1A"/>
                <w:sz w:val="24"/>
              </w:rPr>
              <w:t>Tecnologia sem informação suficiente para classificação, mantida em observação com gatilhos de reavaliação declarados.</w:t>
            </w:r>
          </w:p>
        </w:tc>
      </w:tr>
    </w:tbl>
    <w:p>
      <w:r>
        <w:br w:type="page"/>
      </w:r>
    </w:p>
    <w:p>
      <w:pPr>
        <w:keepNext/>
        <w:spacing w:before="360" w:after="160"/>
        <w:jc w:val="left"/>
        <w:pBdr>
          <w:bottom w:val="single" w:sz="8" w:space="4" w:color="143C64"/>
        </w:pBdr>
      </w:pPr>
      <w:r>
        <w:rPr>
          <w:rFonts w:ascii="Calibri" w:hAnsi="Calibri"/>
          <w:b/>
          <w:color w:val="143C64"/>
          <w:sz w:val="30"/>
        </w:rPr>
        <w:t>5  Declaração de conflitos de interesse</w:t>
      </w:r>
    </w:p>
    <w:p>
      <w:pPr>
        <w:spacing w:after="120"/>
        <w:jc w:val="both"/>
      </w:pPr>
      <w:r>
        <w:rPr>
          <w:rFonts w:ascii="Calibri" w:hAnsi="Calibri"/>
          <w:b w:val="0"/>
          <w:i w:val="0"/>
          <w:color w:val="1A1A1A"/>
          <w:sz w:val="24"/>
        </w:rPr>
        <w:t>Antes de qualquer análise, cada participante declara vínculos comerciais, patrocínios, aulas remuneradas, consultorias, pesquisas financiadas ou outras relações com o fabricante, o distribuidor ou concorrentes da tecnologia analisada. A declaração é obrigatória inclusive quando negativa.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298"/>
        <w:gridCol w:w="4774"/>
      </w:tblGrid>
      <w:tr>
        <w:trPr>
          <w:cantSplit/>
          <w:tblHeader/>
        </w:trPr>
        <w:tc>
          <w:tcPr>
            <w:tcW w:type="dxa" w:w="4298"/>
            <w:shd w:val="clear" w:color="auto" w:fill="143C64"/>
          </w:tcPr>
          <w:p>
            <w:pPr>
              <w:spacing w:after="0"/>
              <w:jc w:val="left"/>
            </w:pPr>
            <w:r/>
            <w:r>
              <w:rPr>
                <w:rFonts w:ascii="Calibri" w:hAnsi="Calibri"/>
                <w:b/>
                <w:color w:val="FFFFFF"/>
                <w:sz w:val="24"/>
              </w:rPr>
              <w:t>Campo</w:t>
            </w:r>
          </w:p>
        </w:tc>
        <w:tc>
          <w:tcPr>
            <w:tcW w:type="dxa" w:w="4774"/>
            <w:shd w:val="clear" w:color="auto" w:fill="143C64"/>
          </w:tcPr>
          <w:p>
            <w:pPr>
              <w:spacing w:after="0"/>
              <w:jc w:val="left"/>
            </w:pPr>
            <w:r/>
            <w:r>
              <w:rPr>
                <w:rFonts w:ascii="Calibri" w:hAnsi="Calibri"/>
                <w:b/>
                <w:color w:val="FFFFFF"/>
                <w:sz w:val="24"/>
              </w:rPr>
              <w:t>Preenchimento</w:t>
            </w:r>
          </w:p>
        </w:tc>
      </w:tr>
      <w:tr>
        <w:trPr>
          <w:cantSplit/>
        </w:trPr>
        <w:tc>
          <w:tcPr>
            <w:tcW w:type="dxa" w:w="4298"/>
          </w:tcPr>
          <w:p>
            <w:pPr>
              <w:spacing w:after="0"/>
              <w:jc w:val="left"/>
            </w:pPr>
            <w:r/>
            <w:r>
              <w:rPr>
                <w:rFonts w:ascii="Calibri" w:hAnsi="Calibri"/>
                <w:b w:val="0"/>
                <w:color w:val="1A1A1A"/>
                <w:sz w:val="24"/>
              </w:rPr>
              <w:t>Nome e inscrição</w:t>
            </w:r>
          </w:p>
        </w:tc>
        <w:tc>
          <w:tcPr>
            <w:tcW w:type="dxa" w:w="4774"/>
          </w:tcPr>
          <w:p>
            <w:pPr>
              <w:spacing w:after="0"/>
              <w:jc w:val="left"/>
            </w:pPr>
            <w:r/>
            <w:r>
              <w:rPr>
                <w:rFonts w:ascii="Calibri" w:hAnsi="Calibri"/>
                <w:b w:val="0"/>
                <w:color w:val="1A1A1A"/>
                <w:sz w:val="24"/>
              </w:rPr>
              <w:t>___</w:t>
            </w:r>
          </w:p>
        </w:tc>
      </w:tr>
      <w:tr>
        <w:trPr>
          <w:cantSplit/>
        </w:trPr>
        <w:tc>
          <w:tcPr>
            <w:tcW w:type="dxa" w:w="4298"/>
            <w:shd w:val="clear" w:color="auto" w:fill="F2F5F8"/>
          </w:tcPr>
          <w:p>
            <w:pPr>
              <w:spacing w:after="0"/>
              <w:jc w:val="left"/>
            </w:pPr>
            <w:r/>
            <w:r>
              <w:rPr>
                <w:rFonts w:ascii="Calibri" w:hAnsi="Calibri"/>
                <w:b w:val="0"/>
                <w:color w:val="1A1A1A"/>
                <w:sz w:val="24"/>
              </w:rPr>
              <w:t>Tecnologia analisada</w:t>
            </w:r>
          </w:p>
        </w:tc>
        <w:tc>
          <w:tcPr>
            <w:tcW w:type="dxa" w:w="4774"/>
            <w:shd w:val="clear" w:color="auto" w:fill="F2F5F8"/>
          </w:tcPr>
          <w:p>
            <w:pPr>
              <w:spacing w:after="0"/>
              <w:jc w:val="left"/>
            </w:pPr>
            <w:r/>
            <w:r>
              <w:rPr>
                <w:rFonts w:ascii="Calibri" w:hAnsi="Calibri"/>
                <w:b w:val="0"/>
                <w:color w:val="1A1A1A"/>
                <w:sz w:val="24"/>
              </w:rPr>
              <w:t>___</w:t>
            </w:r>
          </w:p>
        </w:tc>
      </w:tr>
      <w:tr>
        <w:trPr>
          <w:cantSplit/>
        </w:trPr>
        <w:tc>
          <w:tcPr>
            <w:tcW w:type="dxa" w:w="4298"/>
          </w:tcPr>
          <w:p>
            <w:pPr>
              <w:spacing w:after="0"/>
              <w:jc w:val="left"/>
            </w:pPr>
            <w:r/>
            <w:r>
              <w:rPr>
                <w:rFonts w:ascii="Calibri" w:hAnsi="Calibri"/>
                <w:b w:val="0"/>
                <w:color w:val="1A1A1A"/>
                <w:sz w:val="24"/>
              </w:rPr>
              <w:t>Vínculo comercial atual ou nos últimos 24 meses</w:t>
            </w:r>
          </w:p>
        </w:tc>
        <w:tc>
          <w:tcPr>
            <w:tcW w:type="dxa" w:w="4774"/>
          </w:tcPr>
          <w:p>
            <w:pPr>
              <w:spacing w:after="0"/>
              <w:jc w:val="left"/>
            </w:pPr>
            <w:r/>
            <w:r>
              <w:rPr>
                <w:rFonts w:ascii="Calibri" w:hAnsi="Calibri"/>
                <w:b w:val="0"/>
                <w:color w:val="1A1A1A"/>
                <w:sz w:val="24"/>
              </w:rPr>
              <w:t>___</w:t>
            </w:r>
          </w:p>
        </w:tc>
      </w:tr>
      <w:tr>
        <w:trPr>
          <w:cantSplit/>
        </w:trPr>
        <w:tc>
          <w:tcPr>
            <w:tcW w:type="dxa" w:w="4298"/>
            <w:shd w:val="clear" w:color="auto" w:fill="F2F5F8"/>
          </w:tcPr>
          <w:p>
            <w:pPr>
              <w:spacing w:after="0"/>
              <w:jc w:val="left"/>
            </w:pPr>
            <w:r/>
            <w:r>
              <w:rPr>
                <w:rFonts w:ascii="Calibri" w:hAnsi="Calibri"/>
                <w:b w:val="0"/>
                <w:color w:val="1A1A1A"/>
                <w:sz w:val="24"/>
              </w:rPr>
              <w:t>Aulas, palestras ou consultorias remuneradas</w:t>
            </w:r>
          </w:p>
        </w:tc>
        <w:tc>
          <w:tcPr>
            <w:tcW w:type="dxa" w:w="4774"/>
            <w:shd w:val="clear" w:color="auto" w:fill="F2F5F8"/>
          </w:tcPr>
          <w:p>
            <w:pPr>
              <w:spacing w:after="0"/>
              <w:jc w:val="left"/>
            </w:pPr>
            <w:r/>
            <w:r>
              <w:rPr>
                <w:rFonts w:ascii="Calibri" w:hAnsi="Calibri"/>
                <w:b w:val="0"/>
                <w:color w:val="1A1A1A"/>
                <w:sz w:val="24"/>
              </w:rPr>
              <w:t>___</w:t>
            </w:r>
          </w:p>
        </w:tc>
      </w:tr>
      <w:tr>
        <w:trPr>
          <w:cantSplit/>
        </w:trPr>
        <w:tc>
          <w:tcPr>
            <w:tcW w:type="dxa" w:w="4298"/>
          </w:tcPr>
          <w:p>
            <w:pPr>
              <w:spacing w:after="0"/>
              <w:jc w:val="left"/>
            </w:pPr>
            <w:r/>
            <w:r>
              <w:rPr>
                <w:rFonts w:ascii="Calibri" w:hAnsi="Calibri"/>
                <w:b w:val="0"/>
                <w:color w:val="1A1A1A"/>
                <w:sz w:val="24"/>
              </w:rPr>
              <w:t>Pesquisa financiada</w:t>
            </w:r>
          </w:p>
        </w:tc>
        <w:tc>
          <w:tcPr>
            <w:tcW w:type="dxa" w:w="4774"/>
          </w:tcPr>
          <w:p>
            <w:pPr>
              <w:spacing w:after="0"/>
              <w:jc w:val="left"/>
            </w:pPr>
            <w:r/>
            <w:r>
              <w:rPr>
                <w:rFonts w:ascii="Calibri" w:hAnsi="Calibri"/>
                <w:b w:val="0"/>
                <w:color w:val="1A1A1A"/>
                <w:sz w:val="24"/>
              </w:rPr>
              <w:t>___</w:t>
            </w:r>
          </w:p>
        </w:tc>
      </w:tr>
      <w:tr>
        <w:trPr>
          <w:cantSplit/>
        </w:trPr>
        <w:tc>
          <w:tcPr>
            <w:tcW w:type="dxa" w:w="4298"/>
            <w:shd w:val="clear" w:color="auto" w:fill="F2F5F8"/>
          </w:tcPr>
          <w:p>
            <w:pPr>
              <w:spacing w:after="0"/>
              <w:jc w:val="left"/>
            </w:pPr>
            <w:r/>
            <w:r>
              <w:rPr>
                <w:rFonts w:ascii="Calibri" w:hAnsi="Calibri"/>
                <w:b w:val="0"/>
                <w:color w:val="1A1A1A"/>
                <w:sz w:val="24"/>
              </w:rPr>
              <w:t>Outros vínculos relevantes</w:t>
            </w:r>
          </w:p>
        </w:tc>
        <w:tc>
          <w:tcPr>
            <w:tcW w:type="dxa" w:w="4774"/>
            <w:shd w:val="clear" w:color="auto" w:fill="F2F5F8"/>
          </w:tcPr>
          <w:p>
            <w:pPr>
              <w:spacing w:after="0"/>
              <w:jc w:val="left"/>
            </w:pPr>
            <w:r/>
            <w:r>
              <w:rPr>
                <w:rFonts w:ascii="Calibri" w:hAnsi="Calibri"/>
                <w:b w:val="0"/>
                <w:color w:val="1A1A1A"/>
                <w:sz w:val="24"/>
              </w:rPr>
              <w:t>___</w:t>
            </w:r>
          </w:p>
        </w:tc>
      </w:tr>
      <w:tr>
        <w:trPr>
          <w:cantSplit/>
        </w:trPr>
        <w:tc>
          <w:tcPr>
            <w:tcW w:type="dxa" w:w="4298"/>
          </w:tcPr>
          <w:p>
            <w:pPr>
              <w:spacing w:after="0"/>
              <w:jc w:val="left"/>
            </w:pPr>
            <w:r/>
            <w:r>
              <w:rPr>
                <w:rFonts w:ascii="Calibri" w:hAnsi="Calibri"/>
                <w:b w:val="0"/>
                <w:color w:val="1A1A1A"/>
                <w:sz w:val="24"/>
              </w:rPr>
              <w:t>Declaração</w:t>
            </w:r>
          </w:p>
        </w:tc>
        <w:tc>
          <w:tcPr>
            <w:tcW w:type="dxa" w:w="4774"/>
          </w:tcPr>
          <w:p>
            <w:pPr>
              <w:spacing w:after="0"/>
              <w:jc w:val="left"/>
            </w:pPr>
            <w:r/>
            <w:r>
              <w:rPr>
                <w:rFonts w:ascii="Calibri" w:hAnsi="Calibri"/>
                <w:b w:val="0"/>
                <w:color w:val="1A1A1A"/>
                <w:sz w:val="24"/>
              </w:rPr>
              <w:t>Declaro a veracidade das informações acima.</w:t>
            </w:r>
          </w:p>
        </w:tc>
      </w:tr>
      <w:tr>
        <w:trPr>
          <w:cantSplit/>
        </w:trPr>
        <w:tc>
          <w:tcPr>
            <w:tcW w:type="dxa" w:w="4298"/>
            <w:shd w:val="clear" w:color="auto" w:fill="F2F5F8"/>
          </w:tcPr>
          <w:p>
            <w:pPr>
              <w:spacing w:after="0"/>
              <w:jc w:val="left"/>
            </w:pPr>
            <w:r/>
            <w:r>
              <w:rPr>
                <w:rFonts w:ascii="Calibri" w:hAnsi="Calibri"/>
                <w:b w:val="0"/>
                <w:color w:val="1A1A1A"/>
                <w:sz w:val="24"/>
              </w:rPr>
              <w:t>Data e assinatura</w:t>
            </w:r>
          </w:p>
        </w:tc>
        <w:tc>
          <w:tcPr>
            <w:tcW w:type="dxa" w:w="4774"/>
            <w:shd w:val="clear" w:color="auto" w:fill="F2F5F8"/>
          </w:tcPr>
          <w:p>
            <w:pPr>
              <w:spacing w:after="0"/>
              <w:jc w:val="left"/>
            </w:pPr>
            <w:r/>
            <w:r>
              <w:rPr>
                <w:rFonts w:ascii="Calibri" w:hAnsi="Calibri"/>
                <w:b w:val="0"/>
                <w:color w:val="1A1A1A"/>
                <w:sz w:val="24"/>
              </w:rPr>
              <w:t>___</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Regra de tratamento do conflito</w:t>
            </w:r>
          </w:p>
          <w:p>
            <w:pPr>
              <w:spacing w:after="0"/>
              <w:jc w:val="both"/>
            </w:pPr>
            <w:r>
              <w:rPr>
                <w:rFonts w:ascii="Calibri" w:hAnsi="Calibri"/>
                <w:color w:val="1A1A1A"/>
                <w:sz w:val="24"/>
              </w:rPr>
              <w:t>Vínculo declarado não é, por si só, causa de exclusão nem evidência de demérito da tecnologia. O que se veda é o vínculo não declarado. Havendo vínculo relevante, o participante não relata nem revisa aquela tecnologia específica, e o fato consta do parecer.</w:t>
            </w:r>
          </w:p>
        </w:tc>
      </w:tr>
    </w:tbl>
    <w:p>
      <w:pPr>
        <w:spacing w:after="80"/>
      </w:pPr>
    </w:p>
    <w:p>
      <w:pPr>
        <w:keepNext/>
        <w:spacing w:before="360" w:after="160"/>
        <w:jc w:val="left"/>
        <w:pBdr>
          <w:bottom w:val="single" w:sz="8" w:space="4" w:color="143C64"/>
        </w:pBdr>
      </w:pPr>
      <w:r>
        <w:rPr>
          <w:rFonts w:ascii="Calibri" w:hAnsi="Calibri"/>
          <w:b/>
          <w:color w:val="143C64"/>
          <w:sz w:val="30"/>
        </w:rPr>
        <w:t>6  Formulário de aplicação</w:t>
      </w:r>
    </w:p>
    <w:p>
      <w:pPr>
        <w:spacing w:after="120"/>
        <w:jc w:val="both"/>
      </w:pPr>
      <w:r>
        <w:rPr>
          <w:rFonts w:ascii="Calibri" w:hAnsi="Calibri"/>
          <w:b w:val="0"/>
          <w:i w:val="0"/>
          <w:color w:val="1A1A1A"/>
          <w:sz w:val="24"/>
        </w:rPr>
        <w:t>Formulário a ser preenchido por análise. Uma folha por tecnologia.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57"/>
        <w:gridCol w:w="2323"/>
        <w:gridCol w:w="1563"/>
        <w:gridCol w:w="1529"/>
      </w:tblGrid>
      <w:tr>
        <w:trPr>
          <w:cantSplit/>
          <w:tblHeader/>
        </w:trPr>
        <w:tc>
          <w:tcPr>
            <w:tcW w:type="dxa" w:w="3657"/>
            <w:shd w:val="clear" w:color="auto" w:fill="143C64"/>
          </w:tcPr>
          <w:p>
            <w:pPr>
              <w:spacing w:after="0"/>
              <w:jc w:val="left"/>
            </w:pPr>
            <w:r/>
            <w:r>
              <w:rPr>
                <w:rFonts w:ascii="Calibri" w:hAnsi="Calibri"/>
                <w:b/>
                <w:color w:val="FFFFFF"/>
                <w:sz w:val="24"/>
              </w:rPr>
              <w:t>Dimensão</w:t>
            </w:r>
          </w:p>
        </w:tc>
        <w:tc>
          <w:tcPr>
            <w:tcW w:type="dxa" w:w="2323"/>
            <w:shd w:val="clear" w:color="auto" w:fill="143C64"/>
          </w:tcPr>
          <w:p>
            <w:pPr>
              <w:spacing w:after="0"/>
              <w:jc w:val="left"/>
            </w:pPr>
            <w:r/>
            <w:r>
              <w:rPr>
                <w:rFonts w:ascii="Calibri" w:hAnsi="Calibri"/>
                <w:b/>
                <w:color w:val="FFFFFF"/>
                <w:sz w:val="24"/>
              </w:rPr>
              <w:t>Evidência consultada</w:t>
            </w:r>
          </w:p>
        </w:tc>
        <w:tc>
          <w:tcPr>
            <w:tcW w:type="dxa" w:w="1563"/>
            <w:shd w:val="clear" w:color="auto" w:fill="143C64"/>
          </w:tcPr>
          <w:p>
            <w:pPr>
              <w:spacing w:after="0"/>
              <w:jc w:val="left"/>
            </w:pPr>
            <w:r/>
            <w:r>
              <w:rPr>
                <w:rFonts w:ascii="Calibri" w:hAnsi="Calibri"/>
                <w:b/>
                <w:color w:val="FFFFFF"/>
                <w:sz w:val="24"/>
              </w:rPr>
              <w:t>Achado</w:t>
            </w:r>
          </w:p>
        </w:tc>
        <w:tc>
          <w:tcPr>
            <w:tcW w:type="dxa" w:w="1529"/>
            <w:shd w:val="clear" w:color="auto" w:fill="143C64"/>
          </w:tcPr>
          <w:p>
            <w:pPr>
              <w:spacing w:after="0"/>
              <w:jc w:val="left"/>
            </w:pPr>
            <w:r/>
            <w:r>
              <w:rPr>
                <w:rFonts w:ascii="Calibri" w:hAnsi="Calibri"/>
                <w:b/>
                <w:color w:val="FFFFFF"/>
                <w:sz w:val="24"/>
              </w:rPr>
              <w:t>Classe</w:t>
            </w:r>
          </w:p>
        </w:tc>
      </w:tr>
      <w:tr>
        <w:trPr>
          <w:cantSplit/>
        </w:trPr>
        <w:tc>
          <w:tcPr>
            <w:tcW w:type="dxa" w:w="3657"/>
          </w:tcPr>
          <w:p>
            <w:pPr>
              <w:spacing w:after="0"/>
              <w:jc w:val="left"/>
            </w:pPr>
            <w:r/>
            <w:r>
              <w:rPr>
                <w:rFonts w:ascii="Calibri" w:hAnsi="Calibri"/>
                <w:b w:val="0"/>
                <w:color w:val="1A1A1A"/>
                <w:sz w:val="24"/>
              </w:rPr>
              <w:t>Situação regulatória</w:t>
            </w:r>
          </w:p>
        </w:tc>
        <w:tc>
          <w:tcPr>
            <w:tcW w:type="dxa" w:w="2323"/>
          </w:tcPr>
          <w:p>
            <w:pPr>
              <w:spacing w:after="0"/>
              <w:jc w:val="left"/>
            </w:pPr>
            <w:r/>
            <w:r>
              <w:rPr>
                <w:rFonts w:ascii="Calibri" w:hAnsi="Calibri"/>
                <w:b w:val="0"/>
                <w:color w:val="1A1A1A"/>
                <w:sz w:val="24"/>
              </w:rPr>
              <w:t>___</w:t>
            </w:r>
          </w:p>
        </w:tc>
        <w:tc>
          <w:tcPr>
            <w:tcW w:type="dxa" w:w="1563"/>
          </w:tcPr>
          <w:p>
            <w:pPr>
              <w:spacing w:after="0"/>
              <w:jc w:val="left"/>
            </w:pPr>
            <w:r/>
            <w:r>
              <w:rPr>
                <w:rFonts w:ascii="Calibri" w:hAnsi="Calibri"/>
                <w:b w:val="0"/>
                <w:color w:val="1A1A1A"/>
                <w:sz w:val="24"/>
              </w:rPr>
              <w:t>___</w:t>
            </w:r>
          </w:p>
        </w:tc>
        <w:tc>
          <w:tcPr>
            <w:tcW w:type="dxa" w:w="1529"/>
          </w:tcPr>
          <w:p>
            <w:pPr>
              <w:spacing w:after="0"/>
              <w:jc w:val="left"/>
            </w:pPr>
            <w:r/>
            <w:r>
              <w:rPr>
                <w:rFonts w:ascii="Calibri" w:hAnsi="Calibri"/>
                <w:b w:val="0"/>
                <w:color w:val="1A1A1A"/>
                <w:sz w:val="24"/>
              </w:rPr>
              <w:t>___</w:t>
            </w:r>
          </w:p>
        </w:tc>
      </w:tr>
      <w:tr>
        <w:trPr>
          <w:cantSplit/>
        </w:trPr>
        <w:tc>
          <w:tcPr>
            <w:tcW w:type="dxa" w:w="3657"/>
            <w:shd w:val="clear" w:color="auto" w:fill="F2F5F8"/>
          </w:tcPr>
          <w:p>
            <w:pPr>
              <w:spacing w:after="0"/>
              <w:jc w:val="left"/>
            </w:pPr>
            <w:r/>
            <w:r>
              <w:rPr>
                <w:rFonts w:ascii="Calibri" w:hAnsi="Calibri"/>
                <w:b w:val="0"/>
                <w:color w:val="1A1A1A"/>
                <w:sz w:val="24"/>
              </w:rPr>
              <w:t>Nível de evidência</w:t>
            </w:r>
          </w:p>
        </w:tc>
        <w:tc>
          <w:tcPr>
            <w:tcW w:type="dxa" w:w="2323"/>
            <w:shd w:val="clear" w:color="auto" w:fill="F2F5F8"/>
          </w:tcPr>
          <w:p>
            <w:pPr>
              <w:spacing w:after="0"/>
              <w:jc w:val="left"/>
            </w:pPr>
            <w:r/>
            <w:r>
              <w:rPr>
                <w:rFonts w:ascii="Calibri" w:hAnsi="Calibri"/>
                <w:b w:val="0"/>
                <w:color w:val="1A1A1A"/>
                <w:sz w:val="24"/>
              </w:rPr>
              <w:t>___</w:t>
            </w:r>
          </w:p>
        </w:tc>
        <w:tc>
          <w:tcPr>
            <w:tcW w:type="dxa" w:w="1563"/>
            <w:shd w:val="clear" w:color="auto" w:fill="F2F5F8"/>
          </w:tcPr>
          <w:p>
            <w:pPr>
              <w:spacing w:after="0"/>
              <w:jc w:val="left"/>
            </w:pPr>
            <w:r/>
            <w:r>
              <w:rPr>
                <w:rFonts w:ascii="Calibri" w:hAnsi="Calibri"/>
                <w:b w:val="0"/>
                <w:color w:val="1A1A1A"/>
                <w:sz w:val="24"/>
              </w:rPr>
              <w:t>___</w:t>
            </w:r>
          </w:p>
        </w:tc>
        <w:tc>
          <w:tcPr>
            <w:tcW w:type="dxa" w:w="1529"/>
            <w:shd w:val="clear" w:color="auto" w:fill="F2F5F8"/>
          </w:tcPr>
          <w:p>
            <w:pPr>
              <w:spacing w:after="0"/>
              <w:jc w:val="left"/>
            </w:pPr>
            <w:r/>
            <w:r>
              <w:rPr>
                <w:rFonts w:ascii="Calibri" w:hAnsi="Calibri"/>
                <w:b w:val="0"/>
                <w:color w:val="1A1A1A"/>
                <w:sz w:val="24"/>
              </w:rPr>
              <w:t>___</w:t>
            </w:r>
          </w:p>
        </w:tc>
      </w:tr>
      <w:tr>
        <w:trPr>
          <w:cantSplit/>
        </w:trPr>
        <w:tc>
          <w:tcPr>
            <w:tcW w:type="dxa" w:w="3657"/>
          </w:tcPr>
          <w:p>
            <w:pPr>
              <w:spacing w:after="0"/>
              <w:jc w:val="left"/>
            </w:pPr>
            <w:r/>
            <w:r>
              <w:rPr>
                <w:rFonts w:ascii="Calibri" w:hAnsi="Calibri"/>
                <w:b w:val="0"/>
                <w:color w:val="1A1A1A"/>
                <w:sz w:val="24"/>
              </w:rPr>
              <w:t>Perfil de segurança</w:t>
            </w:r>
          </w:p>
        </w:tc>
        <w:tc>
          <w:tcPr>
            <w:tcW w:type="dxa" w:w="2323"/>
          </w:tcPr>
          <w:p>
            <w:pPr>
              <w:spacing w:after="0"/>
              <w:jc w:val="left"/>
            </w:pPr>
            <w:r/>
            <w:r>
              <w:rPr>
                <w:rFonts w:ascii="Calibri" w:hAnsi="Calibri"/>
                <w:b w:val="0"/>
                <w:color w:val="1A1A1A"/>
                <w:sz w:val="24"/>
              </w:rPr>
              <w:t>___</w:t>
            </w:r>
          </w:p>
        </w:tc>
        <w:tc>
          <w:tcPr>
            <w:tcW w:type="dxa" w:w="1563"/>
          </w:tcPr>
          <w:p>
            <w:pPr>
              <w:spacing w:after="0"/>
              <w:jc w:val="left"/>
            </w:pPr>
            <w:r/>
            <w:r>
              <w:rPr>
                <w:rFonts w:ascii="Calibri" w:hAnsi="Calibri"/>
                <w:b w:val="0"/>
                <w:color w:val="1A1A1A"/>
                <w:sz w:val="24"/>
              </w:rPr>
              <w:t>___</w:t>
            </w:r>
          </w:p>
        </w:tc>
        <w:tc>
          <w:tcPr>
            <w:tcW w:type="dxa" w:w="1529"/>
          </w:tcPr>
          <w:p>
            <w:pPr>
              <w:spacing w:after="0"/>
              <w:jc w:val="left"/>
            </w:pPr>
            <w:r/>
            <w:r>
              <w:rPr>
                <w:rFonts w:ascii="Calibri" w:hAnsi="Calibri"/>
                <w:b w:val="0"/>
                <w:color w:val="1A1A1A"/>
                <w:sz w:val="24"/>
              </w:rPr>
              <w:t>___</w:t>
            </w:r>
          </w:p>
        </w:tc>
      </w:tr>
      <w:tr>
        <w:trPr>
          <w:cantSplit/>
        </w:trPr>
        <w:tc>
          <w:tcPr>
            <w:tcW w:type="dxa" w:w="3657"/>
            <w:shd w:val="clear" w:color="auto" w:fill="F2F5F8"/>
          </w:tcPr>
          <w:p>
            <w:pPr>
              <w:spacing w:after="0"/>
              <w:jc w:val="left"/>
            </w:pPr>
            <w:r/>
            <w:r>
              <w:rPr>
                <w:rFonts w:ascii="Calibri" w:hAnsi="Calibri"/>
                <w:b w:val="0"/>
                <w:color w:val="1A1A1A"/>
                <w:sz w:val="24"/>
              </w:rPr>
              <w:t>Reprodutibilidade</w:t>
            </w:r>
          </w:p>
        </w:tc>
        <w:tc>
          <w:tcPr>
            <w:tcW w:type="dxa" w:w="2323"/>
            <w:shd w:val="clear" w:color="auto" w:fill="F2F5F8"/>
          </w:tcPr>
          <w:p>
            <w:pPr>
              <w:spacing w:after="0"/>
              <w:jc w:val="left"/>
            </w:pPr>
            <w:r/>
            <w:r>
              <w:rPr>
                <w:rFonts w:ascii="Calibri" w:hAnsi="Calibri"/>
                <w:b w:val="0"/>
                <w:color w:val="1A1A1A"/>
                <w:sz w:val="24"/>
              </w:rPr>
              <w:t>___</w:t>
            </w:r>
          </w:p>
        </w:tc>
        <w:tc>
          <w:tcPr>
            <w:tcW w:type="dxa" w:w="1563"/>
            <w:shd w:val="clear" w:color="auto" w:fill="F2F5F8"/>
          </w:tcPr>
          <w:p>
            <w:pPr>
              <w:spacing w:after="0"/>
              <w:jc w:val="left"/>
            </w:pPr>
            <w:r/>
            <w:r>
              <w:rPr>
                <w:rFonts w:ascii="Calibri" w:hAnsi="Calibri"/>
                <w:b w:val="0"/>
                <w:color w:val="1A1A1A"/>
                <w:sz w:val="24"/>
              </w:rPr>
              <w:t>___</w:t>
            </w:r>
          </w:p>
        </w:tc>
        <w:tc>
          <w:tcPr>
            <w:tcW w:type="dxa" w:w="1529"/>
            <w:shd w:val="clear" w:color="auto" w:fill="F2F5F8"/>
          </w:tcPr>
          <w:p>
            <w:pPr>
              <w:spacing w:after="0"/>
              <w:jc w:val="left"/>
            </w:pPr>
            <w:r/>
            <w:r>
              <w:rPr>
                <w:rFonts w:ascii="Calibri" w:hAnsi="Calibri"/>
                <w:b w:val="0"/>
                <w:color w:val="1A1A1A"/>
                <w:sz w:val="24"/>
              </w:rPr>
              <w:t>___</w:t>
            </w:r>
          </w:p>
        </w:tc>
      </w:tr>
      <w:tr>
        <w:trPr>
          <w:cantSplit/>
        </w:trPr>
        <w:tc>
          <w:tcPr>
            <w:tcW w:type="dxa" w:w="3657"/>
          </w:tcPr>
          <w:p>
            <w:pPr>
              <w:spacing w:after="0"/>
              <w:jc w:val="left"/>
            </w:pPr>
            <w:r/>
            <w:r>
              <w:rPr>
                <w:rFonts w:ascii="Calibri" w:hAnsi="Calibri"/>
                <w:b w:val="0"/>
                <w:color w:val="1A1A1A"/>
                <w:sz w:val="24"/>
              </w:rPr>
              <w:t>Reversibilidade</w:t>
            </w:r>
          </w:p>
        </w:tc>
        <w:tc>
          <w:tcPr>
            <w:tcW w:type="dxa" w:w="2323"/>
          </w:tcPr>
          <w:p>
            <w:pPr>
              <w:spacing w:after="0"/>
              <w:jc w:val="left"/>
            </w:pPr>
            <w:r/>
            <w:r>
              <w:rPr>
                <w:rFonts w:ascii="Calibri" w:hAnsi="Calibri"/>
                <w:b w:val="0"/>
                <w:color w:val="1A1A1A"/>
                <w:sz w:val="24"/>
              </w:rPr>
              <w:t>___</w:t>
            </w:r>
          </w:p>
        </w:tc>
        <w:tc>
          <w:tcPr>
            <w:tcW w:type="dxa" w:w="1563"/>
          </w:tcPr>
          <w:p>
            <w:pPr>
              <w:spacing w:after="0"/>
              <w:jc w:val="left"/>
            </w:pPr>
            <w:r/>
            <w:r>
              <w:rPr>
                <w:rFonts w:ascii="Calibri" w:hAnsi="Calibri"/>
                <w:b w:val="0"/>
                <w:color w:val="1A1A1A"/>
                <w:sz w:val="24"/>
              </w:rPr>
              <w:t>___</w:t>
            </w:r>
          </w:p>
        </w:tc>
        <w:tc>
          <w:tcPr>
            <w:tcW w:type="dxa" w:w="1529"/>
          </w:tcPr>
          <w:p>
            <w:pPr>
              <w:spacing w:after="0"/>
              <w:jc w:val="left"/>
            </w:pPr>
            <w:r/>
            <w:r>
              <w:rPr>
                <w:rFonts w:ascii="Calibri" w:hAnsi="Calibri"/>
                <w:b w:val="0"/>
                <w:color w:val="1A1A1A"/>
                <w:sz w:val="24"/>
              </w:rPr>
              <w:t>___</w:t>
            </w:r>
          </w:p>
        </w:tc>
      </w:tr>
      <w:tr>
        <w:trPr>
          <w:cantSplit/>
        </w:trPr>
        <w:tc>
          <w:tcPr>
            <w:tcW w:type="dxa" w:w="3657"/>
            <w:shd w:val="clear" w:color="auto" w:fill="F2F5F8"/>
          </w:tcPr>
          <w:p>
            <w:pPr>
              <w:spacing w:after="0"/>
              <w:jc w:val="left"/>
            </w:pPr>
            <w:r/>
            <w:r>
              <w:rPr>
                <w:rFonts w:ascii="Calibri" w:hAnsi="Calibri"/>
                <w:b w:val="0"/>
                <w:color w:val="1A1A1A"/>
                <w:sz w:val="24"/>
              </w:rPr>
              <w:t>Escopo profissional</w:t>
            </w:r>
          </w:p>
        </w:tc>
        <w:tc>
          <w:tcPr>
            <w:tcW w:type="dxa" w:w="2323"/>
            <w:shd w:val="clear" w:color="auto" w:fill="F2F5F8"/>
          </w:tcPr>
          <w:p>
            <w:pPr>
              <w:spacing w:after="0"/>
              <w:jc w:val="left"/>
            </w:pPr>
            <w:r/>
            <w:r>
              <w:rPr>
                <w:rFonts w:ascii="Calibri" w:hAnsi="Calibri"/>
                <w:b w:val="0"/>
                <w:color w:val="1A1A1A"/>
                <w:sz w:val="24"/>
              </w:rPr>
              <w:t>___</w:t>
            </w:r>
          </w:p>
        </w:tc>
        <w:tc>
          <w:tcPr>
            <w:tcW w:type="dxa" w:w="1563"/>
            <w:shd w:val="clear" w:color="auto" w:fill="F2F5F8"/>
          </w:tcPr>
          <w:p>
            <w:pPr>
              <w:spacing w:after="0"/>
              <w:jc w:val="left"/>
            </w:pPr>
            <w:r/>
            <w:r>
              <w:rPr>
                <w:rFonts w:ascii="Calibri" w:hAnsi="Calibri"/>
                <w:b w:val="0"/>
                <w:color w:val="1A1A1A"/>
                <w:sz w:val="24"/>
              </w:rPr>
              <w:t>___</w:t>
            </w:r>
          </w:p>
        </w:tc>
        <w:tc>
          <w:tcPr>
            <w:tcW w:type="dxa" w:w="1529"/>
            <w:shd w:val="clear" w:color="auto" w:fill="F2F5F8"/>
          </w:tcPr>
          <w:p>
            <w:pPr>
              <w:spacing w:after="0"/>
              <w:jc w:val="left"/>
            </w:pPr>
            <w:r/>
            <w:r>
              <w:rPr>
                <w:rFonts w:ascii="Calibri" w:hAnsi="Calibri"/>
                <w:b w:val="0"/>
                <w:color w:val="1A1A1A"/>
                <w:sz w:val="24"/>
              </w:rPr>
              <w:t>___</w:t>
            </w:r>
          </w:p>
        </w:tc>
      </w:tr>
      <w:tr>
        <w:trPr>
          <w:cantSplit/>
        </w:trPr>
        <w:tc>
          <w:tcPr>
            <w:tcW w:type="dxa" w:w="3657"/>
          </w:tcPr>
          <w:p>
            <w:pPr>
              <w:spacing w:after="0"/>
              <w:jc w:val="left"/>
            </w:pPr>
            <w:r/>
            <w:r>
              <w:rPr>
                <w:rFonts w:ascii="Calibri" w:hAnsi="Calibri"/>
                <w:b w:val="0"/>
                <w:color w:val="1A1A1A"/>
                <w:sz w:val="24"/>
              </w:rPr>
              <w:t>Capacitação e infraestrutura</w:t>
            </w:r>
          </w:p>
        </w:tc>
        <w:tc>
          <w:tcPr>
            <w:tcW w:type="dxa" w:w="2323"/>
          </w:tcPr>
          <w:p>
            <w:pPr>
              <w:spacing w:after="0"/>
              <w:jc w:val="left"/>
            </w:pPr>
            <w:r/>
            <w:r>
              <w:rPr>
                <w:rFonts w:ascii="Calibri" w:hAnsi="Calibri"/>
                <w:b w:val="0"/>
                <w:color w:val="1A1A1A"/>
                <w:sz w:val="24"/>
              </w:rPr>
              <w:t>___</w:t>
            </w:r>
          </w:p>
        </w:tc>
        <w:tc>
          <w:tcPr>
            <w:tcW w:type="dxa" w:w="1563"/>
          </w:tcPr>
          <w:p>
            <w:pPr>
              <w:spacing w:after="0"/>
              <w:jc w:val="left"/>
            </w:pPr>
            <w:r/>
            <w:r>
              <w:rPr>
                <w:rFonts w:ascii="Calibri" w:hAnsi="Calibri"/>
                <w:b w:val="0"/>
                <w:color w:val="1A1A1A"/>
                <w:sz w:val="24"/>
              </w:rPr>
              <w:t>___</w:t>
            </w:r>
          </w:p>
        </w:tc>
        <w:tc>
          <w:tcPr>
            <w:tcW w:type="dxa" w:w="1529"/>
          </w:tcPr>
          <w:p>
            <w:pPr>
              <w:spacing w:after="0"/>
              <w:jc w:val="left"/>
            </w:pPr>
            <w:r/>
            <w:r>
              <w:rPr>
                <w:rFonts w:ascii="Calibri" w:hAnsi="Calibri"/>
                <w:b w:val="0"/>
                <w:color w:val="1A1A1A"/>
                <w:sz w:val="24"/>
              </w:rPr>
              <w:t>___</w:t>
            </w:r>
          </w:p>
        </w:tc>
      </w:tr>
      <w:tr>
        <w:trPr>
          <w:cantSplit/>
        </w:trPr>
        <w:tc>
          <w:tcPr>
            <w:tcW w:type="dxa" w:w="3657"/>
            <w:shd w:val="clear" w:color="auto" w:fill="F2F5F8"/>
          </w:tcPr>
          <w:p>
            <w:pPr>
              <w:spacing w:after="0"/>
              <w:jc w:val="left"/>
            </w:pPr>
            <w:r/>
            <w:r>
              <w:rPr>
                <w:rFonts w:ascii="Calibri" w:hAnsi="Calibri"/>
                <w:b w:val="0"/>
                <w:color w:val="1A1A1A"/>
                <w:sz w:val="24"/>
              </w:rPr>
              <w:t>Governança de dados</w:t>
            </w:r>
          </w:p>
        </w:tc>
        <w:tc>
          <w:tcPr>
            <w:tcW w:type="dxa" w:w="2323"/>
            <w:shd w:val="clear" w:color="auto" w:fill="F2F5F8"/>
          </w:tcPr>
          <w:p>
            <w:pPr>
              <w:spacing w:after="0"/>
              <w:jc w:val="left"/>
            </w:pPr>
            <w:r/>
            <w:r>
              <w:rPr>
                <w:rFonts w:ascii="Calibri" w:hAnsi="Calibri"/>
                <w:b w:val="0"/>
                <w:color w:val="1A1A1A"/>
                <w:sz w:val="24"/>
              </w:rPr>
              <w:t>___</w:t>
            </w:r>
          </w:p>
        </w:tc>
        <w:tc>
          <w:tcPr>
            <w:tcW w:type="dxa" w:w="1563"/>
            <w:shd w:val="clear" w:color="auto" w:fill="F2F5F8"/>
          </w:tcPr>
          <w:p>
            <w:pPr>
              <w:spacing w:after="0"/>
              <w:jc w:val="left"/>
            </w:pPr>
            <w:r/>
            <w:r>
              <w:rPr>
                <w:rFonts w:ascii="Calibri" w:hAnsi="Calibri"/>
                <w:b w:val="0"/>
                <w:color w:val="1A1A1A"/>
                <w:sz w:val="24"/>
              </w:rPr>
              <w:t>___</w:t>
            </w:r>
          </w:p>
        </w:tc>
        <w:tc>
          <w:tcPr>
            <w:tcW w:type="dxa" w:w="1529"/>
            <w:shd w:val="clear" w:color="auto" w:fill="F2F5F8"/>
          </w:tcPr>
          <w:p>
            <w:pPr>
              <w:spacing w:after="0"/>
              <w:jc w:val="left"/>
            </w:pPr>
            <w:r/>
            <w:r>
              <w:rPr>
                <w:rFonts w:ascii="Calibri" w:hAnsi="Calibri"/>
                <w:b w:val="0"/>
                <w:color w:val="1A1A1A"/>
                <w:sz w:val="24"/>
              </w:rPr>
              <w:t>___</w:t>
            </w:r>
          </w:p>
        </w:tc>
      </w:tr>
    </w:tbl>
    <w:p>
      <w:pPr>
        <w:spacing w:after="160"/>
      </w:pP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4789"/>
        <w:gridCol w:w="4283"/>
      </w:tblGrid>
      <w:tr>
        <w:trPr>
          <w:cantSplit/>
          <w:tblHeader/>
        </w:trPr>
        <w:tc>
          <w:tcPr>
            <w:tcW w:type="dxa" w:w="4789"/>
            <w:shd w:val="clear" w:color="auto" w:fill="143C64"/>
          </w:tcPr>
          <w:p>
            <w:pPr>
              <w:spacing w:after="0"/>
              <w:jc w:val="left"/>
            </w:pPr>
            <w:r/>
            <w:r>
              <w:rPr>
                <w:rFonts w:ascii="Calibri" w:hAnsi="Calibri"/>
                <w:b/>
                <w:color w:val="FFFFFF"/>
                <w:sz w:val="24"/>
              </w:rPr>
              <w:t>Fechamento da análise</w:t>
            </w:r>
          </w:p>
        </w:tc>
        <w:tc>
          <w:tcPr>
            <w:tcW w:type="dxa" w:w="4283"/>
            <w:shd w:val="clear" w:color="auto" w:fill="143C64"/>
          </w:tcPr>
          <w:p>
            <w:pPr>
              <w:spacing w:after="0"/>
              <w:jc w:val="left"/>
            </w:pPr>
            <w:r/>
            <w:r>
              <w:rPr>
                <w:rFonts w:ascii="Calibri" w:hAnsi="Calibri"/>
                <w:b/>
                <w:color w:val="FFFFFF"/>
                <w:sz w:val="24"/>
              </w:rPr>
              <w:t>Registro</w:t>
            </w:r>
          </w:p>
        </w:tc>
      </w:tr>
      <w:tr>
        <w:trPr>
          <w:cantSplit/>
        </w:trPr>
        <w:tc>
          <w:tcPr>
            <w:tcW w:type="dxa" w:w="4789"/>
          </w:tcPr>
          <w:p>
            <w:pPr>
              <w:spacing w:after="0"/>
              <w:jc w:val="left"/>
            </w:pPr>
            <w:r/>
            <w:r>
              <w:rPr>
                <w:rFonts w:ascii="Calibri" w:hAnsi="Calibri"/>
                <w:b w:val="0"/>
                <w:color w:val="1A1A1A"/>
                <w:sz w:val="24"/>
              </w:rPr>
              <w:t>Conclusão aplicando a regra da seção 4</w:t>
            </w:r>
          </w:p>
        </w:tc>
        <w:tc>
          <w:tcPr>
            <w:tcW w:type="dxa" w:w="4283"/>
          </w:tcPr>
          <w:p>
            <w:pPr>
              <w:spacing w:after="0"/>
              <w:jc w:val="left"/>
            </w:pPr>
            <w:r/>
            <w:r>
              <w:rPr>
                <w:rFonts w:ascii="Calibri" w:hAnsi="Calibri"/>
                <w:b w:val="0"/>
                <w:color w:val="1A1A1A"/>
                <w:sz w:val="24"/>
              </w:rPr>
              <w:t>___</w:t>
            </w:r>
          </w:p>
        </w:tc>
      </w:tr>
      <w:tr>
        <w:trPr>
          <w:cantSplit/>
        </w:trPr>
        <w:tc>
          <w:tcPr>
            <w:tcW w:type="dxa" w:w="4789"/>
            <w:shd w:val="clear" w:color="auto" w:fill="F2F5F8"/>
          </w:tcPr>
          <w:p>
            <w:pPr>
              <w:spacing w:after="0"/>
              <w:jc w:val="left"/>
            </w:pPr>
            <w:r/>
            <w:r>
              <w:rPr>
                <w:rFonts w:ascii="Calibri" w:hAnsi="Calibri"/>
                <w:b w:val="0"/>
                <w:color w:val="1A1A1A"/>
                <w:sz w:val="24"/>
              </w:rPr>
              <w:t>Condições, se houver</w:t>
            </w:r>
          </w:p>
        </w:tc>
        <w:tc>
          <w:tcPr>
            <w:tcW w:type="dxa" w:w="4283"/>
            <w:shd w:val="clear" w:color="auto" w:fill="F2F5F8"/>
          </w:tcPr>
          <w:p>
            <w:pPr>
              <w:spacing w:after="0"/>
              <w:jc w:val="left"/>
            </w:pPr>
            <w:r/>
            <w:r>
              <w:rPr>
                <w:rFonts w:ascii="Calibri" w:hAnsi="Calibri"/>
                <w:b w:val="0"/>
                <w:color w:val="1A1A1A"/>
                <w:sz w:val="24"/>
              </w:rPr>
              <w:t>___</w:t>
            </w:r>
          </w:p>
        </w:tc>
      </w:tr>
      <w:tr>
        <w:trPr>
          <w:cantSplit/>
        </w:trPr>
        <w:tc>
          <w:tcPr>
            <w:tcW w:type="dxa" w:w="4789"/>
          </w:tcPr>
          <w:p>
            <w:pPr>
              <w:spacing w:after="0"/>
              <w:jc w:val="left"/>
            </w:pPr>
            <w:r/>
            <w:r>
              <w:rPr>
                <w:rFonts w:ascii="Calibri" w:hAnsi="Calibri"/>
                <w:b w:val="0"/>
                <w:color w:val="1A1A1A"/>
                <w:sz w:val="24"/>
              </w:rPr>
              <w:t>Pendências declaradas</w:t>
            </w:r>
          </w:p>
        </w:tc>
        <w:tc>
          <w:tcPr>
            <w:tcW w:type="dxa" w:w="4283"/>
          </w:tcPr>
          <w:p>
            <w:pPr>
              <w:spacing w:after="0"/>
              <w:jc w:val="left"/>
            </w:pPr>
            <w:r/>
            <w:r>
              <w:rPr>
                <w:rFonts w:ascii="Calibri" w:hAnsi="Calibri"/>
                <w:b w:val="0"/>
                <w:color w:val="1A1A1A"/>
                <w:sz w:val="24"/>
              </w:rPr>
              <w:t>___</w:t>
            </w:r>
          </w:p>
        </w:tc>
      </w:tr>
      <w:tr>
        <w:trPr>
          <w:cantSplit/>
        </w:trPr>
        <w:tc>
          <w:tcPr>
            <w:tcW w:type="dxa" w:w="4789"/>
            <w:shd w:val="clear" w:color="auto" w:fill="F2F5F8"/>
          </w:tcPr>
          <w:p>
            <w:pPr>
              <w:spacing w:after="0"/>
              <w:jc w:val="left"/>
            </w:pPr>
            <w:r/>
            <w:r>
              <w:rPr>
                <w:rFonts w:ascii="Calibri" w:hAnsi="Calibri"/>
                <w:b w:val="0"/>
                <w:color w:val="1A1A1A"/>
                <w:sz w:val="24"/>
              </w:rPr>
              <w:t>Relator</w:t>
            </w:r>
          </w:p>
        </w:tc>
        <w:tc>
          <w:tcPr>
            <w:tcW w:type="dxa" w:w="4283"/>
            <w:shd w:val="clear" w:color="auto" w:fill="F2F5F8"/>
          </w:tcPr>
          <w:p>
            <w:pPr>
              <w:spacing w:after="0"/>
              <w:jc w:val="left"/>
            </w:pPr>
            <w:r/>
            <w:r>
              <w:rPr>
                <w:rFonts w:ascii="Calibri" w:hAnsi="Calibri"/>
                <w:b w:val="0"/>
                <w:color w:val="1A1A1A"/>
                <w:sz w:val="24"/>
              </w:rPr>
              <w:t>___</w:t>
            </w:r>
          </w:p>
        </w:tc>
      </w:tr>
      <w:tr>
        <w:trPr>
          <w:cantSplit/>
        </w:trPr>
        <w:tc>
          <w:tcPr>
            <w:tcW w:type="dxa" w:w="4789"/>
          </w:tcPr>
          <w:p>
            <w:pPr>
              <w:spacing w:after="0"/>
              <w:jc w:val="left"/>
            </w:pPr>
            <w:r/>
            <w:r>
              <w:rPr>
                <w:rFonts w:ascii="Calibri" w:hAnsi="Calibri"/>
                <w:b w:val="0"/>
                <w:color w:val="1A1A1A"/>
                <w:sz w:val="24"/>
              </w:rPr>
              <w:t>Revisor por par</w:t>
            </w:r>
          </w:p>
        </w:tc>
        <w:tc>
          <w:tcPr>
            <w:tcW w:type="dxa" w:w="4283"/>
          </w:tcPr>
          <w:p>
            <w:pPr>
              <w:spacing w:after="0"/>
              <w:jc w:val="left"/>
            </w:pPr>
            <w:r/>
            <w:r>
              <w:rPr>
                <w:rFonts w:ascii="Calibri" w:hAnsi="Calibri"/>
                <w:b w:val="0"/>
                <w:color w:val="1A1A1A"/>
                <w:sz w:val="24"/>
              </w:rPr>
              <w:t>___</w:t>
            </w:r>
          </w:p>
        </w:tc>
      </w:tr>
      <w:tr>
        <w:trPr>
          <w:cantSplit/>
        </w:trPr>
        <w:tc>
          <w:tcPr>
            <w:tcW w:type="dxa" w:w="4789"/>
            <w:shd w:val="clear" w:color="auto" w:fill="F2F5F8"/>
          </w:tcPr>
          <w:p>
            <w:pPr>
              <w:spacing w:after="0"/>
              <w:jc w:val="left"/>
            </w:pPr>
            <w:r/>
            <w:r>
              <w:rPr>
                <w:rFonts w:ascii="Calibri" w:hAnsi="Calibri"/>
                <w:b w:val="0"/>
                <w:color w:val="1A1A1A"/>
                <w:sz w:val="24"/>
              </w:rPr>
              <w:t>Data da análise</w:t>
            </w:r>
          </w:p>
        </w:tc>
        <w:tc>
          <w:tcPr>
            <w:tcW w:type="dxa" w:w="4283"/>
            <w:shd w:val="clear" w:color="auto" w:fill="F2F5F8"/>
          </w:tcPr>
          <w:p>
            <w:pPr>
              <w:spacing w:after="0"/>
              <w:jc w:val="left"/>
            </w:pPr>
            <w:r/>
            <w:r>
              <w:rPr>
                <w:rFonts w:ascii="Calibri" w:hAnsi="Calibri"/>
                <w:b w:val="0"/>
                <w:color w:val="1A1A1A"/>
                <w:sz w:val="24"/>
              </w:rPr>
              <w:t>___</w:t>
            </w:r>
          </w:p>
        </w:tc>
      </w:tr>
      <w:tr>
        <w:trPr>
          <w:cantSplit/>
        </w:trPr>
        <w:tc>
          <w:tcPr>
            <w:tcW w:type="dxa" w:w="4789"/>
          </w:tcPr>
          <w:p>
            <w:pPr>
              <w:spacing w:after="0"/>
              <w:jc w:val="left"/>
            </w:pPr>
            <w:r/>
            <w:r>
              <w:rPr>
                <w:rFonts w:ascii="Calibri" w:hAnsi="Calibri"/>
                <w:b w:val="0"/>
                <w:color w:val="1A1A1A"/>
                <w:sz w:val="24"/>
              </w:rPr>
              <w:t>Data da próxima reavaliação</w:t>
            </w:r>
          </w:p>
        </w:tc>
        <w:tc>
          <w:tcPr>
            <w:tcW w:type="dxa" w:w="4283"/>
          </w:tcPr>
          <w:p>
            <w:pPr>
              <w:spacing w:after="0"/>
              <w:jc w:val="left"/>
            </w:pPr>
            <w:r/>
            <w:r>
              <w:rPr>
                <w:rFonts w:ascii="Calibri" w:hAnsi="Calibri"/>
                <w:b w:val="0"/>
                <w:color w:val="1A1A1A"/>
                <w:sz w:val="24"/>
              </w:rPr>
              <w:t>___</w:t>
            </w:r>
          </w:p>
        </w:tc>
      </w:tr>
      <w:tr>
        <w:trPr>
          <w:cantSplit/>
        </w:trPr>
        <w:tc>
          <w:tcPr>
            <w:tcW w:type="dxa" w:w="4789"/>
            <w:shd w:val="clear" w:color="auto" w:fill="F2F5F8"/>
          </w:tcPr>
          <w:p>
            <w:pPr>
              <w:spacing w:after="0"/>
              <w:jc w:val="left"/>
            </w:pPr>
            <w:r/>
            <w:r>
              <w:rPr>
                <w:rFonts w:ascii="Calibri" w:hAnsi="Calibri"/>
                <w:b w:val="0"/>
                <w:color w:val="1A1A1A"/>
                <w:sz w:val="24"/>
              </w:rPr>
              <w:t>Gatilhos de reavaliação antecipada</w:t>
            </w:r>
          </w:p>
        </w:tc>
        <w:tc>
          <w:tcPr>
            <w:tcW w:type="dxa" w:w="4283"/>
            <w:shd w:val="clear" w:color="auto" w:fill="F2F5F8"/>
          </w:tcPr>
          <w:p>
            <w:pPr>
              <w:spacing w:after="0"/>
              <w:jc w:val="left"/>
            </w:pPr>
            <w:r/>
            <w:r>
              <w:rPr>
                <w:rFonts w:ascii="Calibri" w:hAnsi="Calibri"/>
                <w:b w:val="0"/>
                <w:color w:val="1A1A1A"/>
                <w:sz w:val="24"/>
              </w:rPr>
              <w:t>___</w:t>
            </w:r>
          </w:p>
        </w:tc>
      </w:tr>
    </w:tbl>
    <w:p>
      <w:pPr>
        <w:keepNext/>
        <w:spacing w:before="360" w:after="160"/>
        <w:jc w:val="left"/>
        <w:pBdr>
          <w:bottom w:val="single" w:sz="8" w:space="4" w:color="143C64"/>
        </w:pBdr>
      </w:pPr>
      <w:r>
        <w:rPr>
          <w:rFonts w:ascii="Calibri" w:hAnsi="Calibri"/>
          <w:b/>
          <w:color w:val="143C64"/>
          <w:sz w:val="30"/>
        </w:rPr>
        <w:t>7  Folha de deliberação do colegiado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5265"/>
        <w:gridCol w:w="3807"/>
      </w:tblGrid>
      <w:tr>
        <w:trPr>
          <w:cantSplit/>
          <w:tblHeader/>
        </w:trPr>
        <w:tc>
          <w:tcPr>
            <w:tcW w:type="dxa" w:w="5265"/>
            <w:shd w:val="clear" w:color="auto" w:fill="143C64"/>
          </w:tcPr>
          <w:p>
            <w:pPr>
              <w:spacing w:after="0"/>
              <w:jc w:val="left"/>
            </w:pPr>
            <w:r/>
            <w:r>
              <w:rPr>
                <w:rFonts w:ascii="Calibri" w:hAnsi="Calibri"/>
                <w:b/>
                <w:color w:val="FFFFFF"/>
                <w:sz w:val="24"/>
              </w:rPr>
              <w:t>Item submetido</w:t>
            </w:r>
          </w:p>
        </w:tc>
        <w:tc>
          <w:tcPr>
            <w:tcW w:type="dxa" w:w="3807"/>
            <w:shd w:val="clear" w:color="auto" w:fill="143C64"/>
          </w:tcPr>
          <w:p>
            <w:pPr>
              <w:spacing w:after="0"/>
              <w:jc w:val="left"/>
            </w:pPr>
            <w:r/>
            <w:r>
              <w:rPr>
                <w:rFonts w:ascii="Calibri" w:hAnsi="Calibri"/>
                <w:b/>
                <w:color w:val="FFFFFF"/>
                <w:sz w:val="24"/>
              </w:rPr>
              <w:t>Decisão</w:t>
            </w:r>
          </w:p>
        </w:tc>
      </w:tr>
      <w:tr>
        <w:trPr>
          <w:cantSplit/>
        </w:trPr>
        <w:tc>
          <w:tcPr>
            <w:tcW w:type="dxa" w:w="5265"/>
          </w:tcPr>
          <w:p>
            <w:pPr>
              <w:spacing w:after="0"/>
              <w:jc w:val="left"/>
            </w:pPr>
            <w:r/>
            <w:r>
              <w:rPr>
                <w:rFonts w:ascii="Calibri" w:hAnsi="Calibri"/>
                <w:b w:val="0"/>
                <w:color w:val="1A1A1A"/>
                <w:sz w:val="24"/>
              </w:rPr>
              <w:t>Aprovação desta matriz em oito dimensões como método único do Núcleo 5.</w:t>
            </w:r>
          </w:p>
        </w:tc>
        <w:tc>
          <w:tcPr>
            <w:tcW w:type="dxa" w:w="3807"/>
          </w:tcPr>
          <w:p>
            <w:pPr>
              <w:spacing w:after="0"/>
              <w:jc w:val="left"/>
            </w:pPr>
            <w:r/>
            <w:r>
              <w:rPr>
                <w:rFonts w:ascii="Calibri" w:hAnsi="Calibri"/>
                <w:b w:val="0"/>
                <w:color w:val="1A1A1A"/>
                <w:sz w:val="24"/>
              </w:rPr>
              <w:t>(   ) aprovado   (   ) aprovado com ajustes   (   ) rejeitado</w:t>
            </w:r>
          </w:p>
        </w:tc>
      </w:tr>
      <w:tr>
        <w:trPr>
          <w:cantSplit/>
        </w:trPr>
        <w:tc>
          <w:tcPr>
            <w:tcW w:type="dxa" w:w="5265"/>
            <w:shd w:val="clear" w:color="auto" w:fill="F2F5F8"/>
          </w:tcPr>
          <w:p>
            <w:pPr>
              <w:spacing w:after="0"/>
              <w:jc w:val="left"/>
            </w:pPr>
            <w:r/>
            <w:r>
              <w:rPr>
                <w:rFonts w:ascii="Calibri" w:hAnsi="Calibri"/>
                <w:b w:val="0"/>
                <w:color w:val="1A1A1A"/>
                <w:sz w:val="24"/>
              </w:rPr>
              <w:t>Reconhecimento de que a grade anterior de seis dimensões fica superada.</w:t>
            </w:r>
          </w:p>
        </w:tc>
        <w:tc>
          <w:tcPr>
            <w:tcW w:type="dxa" w:w="3807"/>
            <w:shd w:val="clear" w:color="auto" w:fill="F2F5F8"/>
          </w:tcPr>
          <w:p>
            <w:pPr>
              <w:spacing w:after="0"/>
              <w:jc w:val="left"/>
            </w:pPr>
            <w:r/>
            <w:r>
              <w:rPr>
                <w:rFonts w:ascii="Calibri" w:hAnsi="Calibri"/>
                <w:b w:val="0"/>
                <w:color w:val="1A1A1A"/>
                <w:sz w:val="24"/>
              </w:rPr>
              <w:t>(   ) aprovado   (   ) aprovado com ajustes   (   ) rejeitado</w:t>
            </w:r>
          </w:p>
        </w:tc>
      </w:tr>
      <w:tr>
        <w:trPr>
          <w:cantSplit/>
        </w:trPr>
        <w:tc>
          <w:tcPr>
            <w:tcW w:type="dxa" w:w="5265"/>
          </w:tcPr>
          <w:p>
            <w:pPr>
              <w:spacing w:after="0"/>
              <w:jc w:val="left"/>
            </w:pPr>
            <w:r/>
            <w:r>
              <w:rPr>
                <w:rFonts w:ascii="Calibri" w:hAnsi="Calibri"/>
                <w:b w:val="0"/>
                <w:color w:val="1A1A1A"/>
                <w:sz w:val="24"/>
              </w:rPr>
              <w:t>Aprovação da rubrica de classificação e da regra de conclusão.</w:t>
            </w:r>
          </w:p>
        </w:tc>
        <w:tc>
          <w:tcPr>
            <w:tcW w:type="dxa" w:w="3807"/>
          </w:tcPr>
          <w:p>
            <w:pPr>
              <w:spacing w:after="0"/>
              <w:jc w:val="left"/>
            </w:pPr>
            <w:r/>
            <w:r>
              <w:rPr>
                <w:rFonts w:ascii="Calibri" w:hAnsi="Calibri"/>
                <w:b w:val="0"/>
                <w:color w:val="1A1A1A"/>
                <w:sz w:val="24"/>
              </w:rPr>
              <w:t>(   ) aprovado   (   ) aprovado com ajustes   (   ) rejeitado</w:t>
            </w:r>
          </w:p>
        </w:tc>
      </w:tr>
      <w:tr>
        <w:trPr>
          <w:cantSplit/>
        </w:trPr>
        <w:tc>
          <w:tcPr>
            <w:tcW w:type="dxa" w:w="5265"/>
            <w:shd w:val="clear" w:color="auto" w:fill="F2F5F8"/>
          </w:tcPr>
          <w:p>
            <w:pPr>
              <w:spacing w:after="0"/>
              <w:jc w:val="left"/>
            </w:pPr>
            <w:r/>
            <w:r>
              <w:rPr>
                <w:rFonts w:ascii="Calibri" w:hAnsi="Calibri"/>
                <w:b w:val="0"/>
                <w:color w:val="1A1A1A"/>
                <w:sz w:val="24"/>
              </w:rPr>
              <w:t>Obrigatoriedade da declaração de conflitos por análise.</w:t>
            </w:r>
          </w:p>
        </w:tc>
        <w:tc>
          <w:tcPr>
            <w:tcW w:type="dxa" w:w="3807"/>
            <w:shd w:val="clear" w:color="auto" w:fill="F2F5F8"/>
          </w:tcPr>
          <w:p>
            <w:pPr>
              <w:spacing w:after="0"/>
              <w:jc w:val="left"/>
            </w:pPr>
            <w:r/>
            <w:r>
              <w:rPr>
                <w:rFonts w:ascii="Calibri" w:hAnsi="Calibri"/>
                <w:b w:val="0"/>
                <w:color w:val="1A1A1A"/>
                <w:sz w:val="24"/>
              </w:rPr>
              <w:t>(   ) aprovado   (   ) aprovado com ajustes   (   ) rejeitado</w:t>
            </w:r>
          </w:p>
        </w:tc>
      </w:tr>
      <w:tr>
        <w:trPr>
          <w:cantSplit/>
        </w:trPr>
        <w:tc>
          <w:tcPr>
            <w:tcW w:type="dxa" w:w="5265"/>
          </w:tcPr>
          <w:p>
            <w:pPr>
              <w:spacing w:after="0"/>
              <w:jc w:val="left"/>
            </w:pPr>
            <w:r/>
            <w:r>
              <w:rPr>
                <w:rFonts w:ascii="Calibri" w:hAnsi="Calibri"/>
                <w:b w:val="0"/>
                <w:color w:val="1A1A1A"/>
                <w:sz w:val="24"/>
              </w:rPr>
              <w:t>Eleição da tecnologia-piloto do ciclo.</w:t>
            </w:r>
          </w:p>
        </w:tc>
        <w:tc>
          <w:tcPr>
            <w:tcW w:type="dxa" w:w="3807"/>
          </w:tcPr>
          <w:p>
            <w:pPr>
              <w:spacing w:after="0"/>
              <w:jc w:val="left"/>
            </w:pPr>
            <w:r/>
            <w:r>
              <w:rPr>
                <w:rFonts w:ascii="Calibri" w:hAnsi="Calibri"/>
                <w:b w:val="0"/>
                <w:color w:val="1A1A1A"/>
                <w:sz w:val="24"/>
              </w:rPr>
              <w:t>Tecnologia: ___</w:t>
            </w:r>
          </w:p>
        </w:tc>
      </w:tr>
    </w:tbl>
    <w:p>
      <w:pPr>
        <w:spacing w:after="120"/>
        <w:jc w:val="both"/>
      </w:pPr>
      <w:r>
        <w:rPr>
          <w:rFonts w:ascii="Calibri" w:hAnsi="Calibri"/>
          <w:b w:val="0"/>
          <w:i/>
          <w:color w:val="1A1A1A"/>
          <w:sz w:val="24"/>
        </w:rPr>
        <w:t>Registro em ata: data ___ , presentes ___ , encaminhamentos ___ .</w:t>
      </w: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p>
      <w:pPr>
        <w:keepNext/>
        <w:spacing w:before="360" w:after="160"/>
        <w:jc w:val="left"/>
        <w:pBdr>
          <w:bottom w:val="single" w:sz="8" w:space="4" w:color="143C64"/>
        </w:pBdr>
      </w:pPr>
      <w:r>
        <w:rPr>
          <w:rFonts w:ascii="Calibri" w:hAnsi="Calibri"/>
          <w:b/>
          <w:color w:val="143C64"/>
          <w:sz w:val="30"/>
        </w:rPr>
        <w:t>Referências e bases documentais</w:t>
      </w:r>
    </w:p>
    <w:p>
      <w:pPr>
        <w:keepNext/>
        <w:spacing w:before="240" w:after="80"/>
        <w:jc w:val="left"/>
      </w:pPr>
      <w:r>
        <w:rPr>
          <w:rFonts w:ascii="Calibri" w:hAnsi="Calibri"/>
          <w:b/>
          <w:color w:val="143C64"/>
          <w:sz w:val="26"/>
        </w:rPr>
        <w:t>Base normativa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2138"/>
        <w:gridCol w:w="3092"/>
        <w:gridCol w:w="3842"/>
      </w:tblGrid>
      <w:tr>
        <w:trPr>
          <w:cantSplit/>
          <w:tblHeader/>
        </w:trPr>
        <w:tc>
          <w:tcPr>
            <w:tcW w:type="dxa" w:w="2138"/>
            <w:shd w:val="clear" w:color="auto" w:fill="143C64"/>
          </w:tcPr>
          <w:p>
            <w:pPr>
              <w:spacing w:after="0"/>
              <w:jc w:val="left"/>
            </w:pPr>
            <w:r/>
            <w:r>
              <w:rPr>
                <w:rFonts w:ascii="Calibri" w:hAnsi="Calibri"/>
                <w:b/>
                <w:color w:val="FFFFFF"/>
                <w:sz w:val="24"/>
              </w:rPr>
              <w:t>Ato</w:t>
            </w:r>
          </w:p>
        </w:tc>
        <w:tc>
          <w:tcPr>
            <w:tcW w:type="dxa" w:w="3092"/>
            <w:shd w:val="clear" w:color="auto" w:fill="143C64"/>
          </w:tcPr>
          <w:p>
            <w:pPr>
              <w:spacing w:after="0"/>
              <w:jc w:val="left"/>
            </w:pPr>
            <w:r/>
            <w:r>
              <w:rPr>
                <w:rFonts w:ascii="Calibri" w:hAnsi="Calibri"/>
                <w:b/>
                <w:color w:val="FFFFFF"/>
                <w:sz w:val="24"/>
              </w:rPr>
              <w:t>Objeto</w:t>
            </w:r>
          </w:p>
        </w:tc>
        <w:tc>
          <w:tcPr>
            <w:tcW w:type="dxa" w:w="3842"/>
            <w:shd w:val="clear" w:color="auto" w:fill="143C64"/>
          </w:tcPr>
          <w:p>
            <w:pPr>
              <w:spacing w:after="0"/>
              <w:jc w:val="left"/>
            </w:pPr>
            <w:r/>
            <w:r>
              <w:rPr>
                <w:rFonts w:ascii="Calibri" w:hAnsi="Calibri"/>
                <w:b/>
                <w:color w:val="FFFFFF"/>
                <w:sz w:val="24"/>
              </w:rPr>
              <w:t>Incidência no pacote</w:t>
            </w:r>
          </w:p>
        </w:tc>
      </w:tr>
      <w:tr>
        <w:trPr>
          <w:cantSplit/>
        </w:trPr>
        <w:tc>
          <w:tcPr>
            <w:tcW w:type="dxa" w:w="2138"/>
          </w:tcPr>
          <w:p>
            <w:pPr>
              <w:spacing w:after="0"/>
              <w:jc w:val="left"/>
            </w:pPr>
            <w:r/>
            <w:r>
              <w:rPr>
                <w:rFonts w:ascii="Calibri" w:hAnsi="Calibri"/>
                <w:b w:val="0"/>
                <w:color w:val="1A1A1A"/>
                <w:sz w:val="24"/>
              </w:rPr>
              <w:t>Lei nº 5.081, de 24 de agosto de 1966</w:t>
            </w:r>
          </w:p>
        </w:tc>
        <w:tc>
          <w:tcPr>
            <w:tcW w:type="dxa" w:w="3092"/>
          </w:tcPr>
          <w:p>
            <w:pPr>
              <w:spacing w:after="0"/>
              <w:jc w:val="left"/>
            </w:pPr>
            <w:r/>
            <w:r>
              <w:rPr>
                <w:rFonts w:ascii="Calibri" w:hAnsi="Calibri"/>
                <w:b w:val="0"/>
                <w:color w:val="1A1A1A"/>
                <w:sz w:val="24"/>
              </w:rPr>
              <w:t>Regula o exercício da Odontologia no Brasil.</w:t>
            </w:r>
          </w:p>
        </w:tc>
        <w:tc>
          <w:tcPr>
            <w:tcW w:type="dxa" w:w="3842"/>
          </w:tcPr>
          <w:p>
            <w:pPr>
              <w:spacing w:after="0"/>
              <w:jc w:val="left"/>
            </w:pPr>
            <w:r/>
            <w:r>
              <w:rPr>
                <w:rFonts w:ascii="Calibri" w:hAnsi="Calibri"/>
                <w:b w:val="0"/>
                <w:color w:val="1A1A1A"/>
                <w:sz w:val="24"/>
              </w:rPr>
              <w:t>Base legal do exercício profissional.</w:t>
            </w:r>
          </w:p>
        </w:tc>
      </w:tr>
      <w:tr>
        <w:trPr>
          <w:cantSplit/>
        </w:trPr>
        <w:tc>
          <w:tcPr>
            <w:tcW w:type="dxa" w:w="2138"/>
            <w:shd w:val="clear" w:color="auto" w:fill="F2F5F8"/>
          </w:tcPr>
          <w:p>
            <w:pPr>
              <w:spacing w:after="0"/>
              <w:jc w:val="left"/>
            </w:pPr>
            <w:r/>
            <w:r>
              <w:rPr>
                <w:rFonts w:ascii="Calibri" w:hAnsi="Calibri"/>
                <w:b w:val="0"/>
                <w:color w:val="1A1A1A"/>
                <w:sz w:val="24"/>
              </w:rPr>
              <w:t>Resolução CFO nº 118/2012</w:t>
            </w:r>
          </w:p>
        </w:tc>
        <w:tc>
          <w:tcPr>
            <w:tcW w:type="dxa" w:w="3092"/>
            <w:shd w:val="clear" w:color="auto" w:fill="F2F5F8"/>
          </w:tcPr>
          <w:p>
            <w:pPr>
              <w:spacing w:after="0"/>
              <w:jc w:val="left"/>
            </w:pPr>
            <w:r/>
            <w:r>
              <w:rPr>
                <w:rFonts w:ascii="Calibri" w:hAnsi="Calibri"/>
                <w:b w:val="0"/>
                <w:color w:val="1A1A1A"/>
                <w:sz w:val="24"/>
              </w:rPr>
              <w:t>Código de Ética Odontológica.</w:t>
            </w:r>
          </w:p>
        </w:tc>
        <w:tc>
          <w:tcPr>
            <w:tcW w:type="dxa" w:w="3842"/>
            <w:shd w:val="clear" w:color="auto" w:fill="F2F5F8"/>
          </w:tcPr>
          <w:p>
            <w:pPr>
              <w:spacing w:after="0"/>
              <w:jc w:val="left"/>
            </w:pPr>
            <w:r/>
            <w:r>
              <w:rPr>
                <w:rFonts w:ascii="Calibri" w:hAnsi="Calibri"/>
                <w:b w:val="0"/>
                <w:color w:val="1A1A1A"/>
                <w:sz w:val="24"/>
              </w:rPr>
              <w:t>Conduta, publicidade, consentimento e responsabilidade.</w:t>
            </w:r>
          </w:p>
        </w:tc>
      </w:tr>
      <w:tr>
        <w:trPr>
          <w:cantSplit/>
        </w:trPr>
        <w:tc>
          <w:tcPr>
            <w:tcW w:type="dxa" w:w="2138"/>
          </w:tcPr>
          <w:p>
            <w:pPr>
              <w:spacing w:after="0"/>
              <w:jc w:val="left"/>
            </w:pPr>
            <w:r/>
            <w:r>
              <w:rPr>
                <w:rFonts w:ascii="Calibri" w:hAnsi="Calibri"/>
                <w:b w:val="0"/>
                <w:color w:val="1A1A1A"/>
                <w:sz w:val="24"/>
              </w:rPr>
              <w:t>RDC Anvisa nº 1.002, de 15 de dezembro de 2025</w:t>
            </w:r>
          </w:p>
        </w:tc>
        <w:tc>
          <w:tcPr>
            <w:tcW w:type="dxa" w:w="3092"/>
          </w:tcPr>
          <w:p>
            <w:pPr>
              <w:spacing w:after="0"/>
              <w:jc w:val="left"/>
            </w:pPr>
            <w:r/>
            <w:r>
              <w:rPr>
                <w:rFonts w:ascii="Calibri" w:hAnsi="Calibri"/>
                <w:b w:val="0"/>
                <w:color w:val="1A1A1A"/>
                <w:sz w:val="24"/>
              </w:rPr>
              <w:t>Boas Práticas de Funcionamento para serviços que prestam assistência odontológica.</w:t>
            </w:r>
          </w:p>
        </w:tc>
        <w:tc>
          <w:tcPr>
            <w:tcW w:type="dxa" w:w="3842"/>
          </w:tcPr>
          <w:p>
            <w:pPr>
              <w:spacing w:after="0"/>
              <w:jc w:val="left"/>
            </w:pPr>
            <w:r/>
            <w:r>
              <w:rPr>
                <w:rFonts w:ascii="Calibri" w:hAnsi="Calibri"/>
                <w:b w:val="0"/>
                <w:color w:val="1A1A1A"/>
                <w:sz w:val="24"/>
              </w:rPr>
              <w:t>Fundamento direto da exigência de POP e da série documental do serviço.</w:t>
            </w:r>
          </w:p>
        </w:tc>
      </w:tr>
      <w:tr>
        <w:trPr>
          <w:cantSplit/>
        </w:trPr>
        <w:tc>
          <w:tcPr>
            <w:tcW w:type="dxa" w:w="2138"/>
            <w:shd w:val="clear" w:color="auto" w:fill="F2F5F8"/>
          </w:tcPr>
          <w:p>
            <w:pPr>
              <w:spacing w:after="0"/>
              <w:jc w:val="left"/>
            </w:pPr>
            <w:r/>
            <w:r>
              <w:rPr>
                <w:rFonts w:ascii="Calibri" w:hAnsi="Calibri"/>
                <w:b w:val="0"/>
                <w:color w:val="1A1A1A"/>
                <w:sz w:val="24"/>
              </w:rPr>
              <w:t>RDC Anvisa nº 63/2011</w:t>
            </w:r>
          </w:p>
        </w:tc>
        <w:tc>
          <w:tcPr>
            <w:tcW w:type="dxa" w:w="3092"/>
            <w:shd w:val="clear" w:color="auto" w:fill="F2F5F8"/>
          </w:tcPr>
          <w:p>
            <w:pPr>
              <w:spacing w:after="0"/>
              <w:jc w:val="left"/>
            </w:pPr>
            <w:r/>
            <w:r>
              <w:rPr>
                <w:rFonts w:ascii="Calibri" w:hAnsi="Calibri"/>
                <w:b w:val="0"/>
                <w:color w:val="1A1A1A"/>
                <w:sz w:val="24"/>
              </w:rPr>
              <w:t>Boas Práticas de Funcionamento para serviços de saúde.</w:t>
            </w:r>
          </w:p>
        </w:tc>
        <w:tc>
          <w:tcPr>
            <w:tcW w:type="dxa" w:w="3842"/>
            <w:shd w:val="clear" w:color="auto" w:fill="F2F5F8"/>
          </w:tcPr>
          <w:p>
            <w:pPr>
              <w:spacing w:after="0"/>
              <w:jc w:val="left"/>
            </w:pPr>
            <w:r/>
            <w:r>
              <w:rPr>
                <w:rFonts w:ascii="Calibri" w:hAnsi="Calibri"/>
                <w:b w:val="0"/>
                <w:color w:val="1A1A1A"/>
                <w:sz w:val="24"/>
              </w:rPr>
              <w:t>Aplicação complementar por remissão expressa.</w:t>
            </w:r>
          </w:p>
        </w:tc>
      </w:tr>
      <w:tr>
        <w:trPr>
          <w:cantSplit/>
        </w:trPr>
        <w:tc>
          <w:tcPr>
            <w:tcW w:type="dxa" w:w="2138"/>
          </w:tcPr>
          <w:p>
            <w:pPr>
              <w:spacing w:after="0"/>
              <w:jc w:val="left"/>
            </w:pPr>
            <w:r/>
            <w:r>
              <w:rPr>
                <w:rFonts w:ascii="Calibri" w:hAnsi="Calibri"/>
                <w:b w:val="0"/>
                <w:color w:val="1A1A1A"/>
                <w:sz w:val="24"/>
              </w:rPr>
              <w:t>RDC Anvisa nº 509/2021</w:t>
            </w:r>
          </w:p>
        </w:tc>
        <w:tc>
          <w:tcPr>
            <w:tcW w:type="dxa" w:w="3092"/>
          </w:tcPr>
          <w:p>
            <w:pPr>
              <w:spacing w:after="0"/>
              <w:jc w:val="left"/>
            </w:pPr>
            <w:r/>
            <w:r>
              <w:rPr>
                <w:rFonts w:ascii="Calibri" w:hAnsi="Calibri"/>
                <w:b w:val="0"/>
                <w:color w:val="1A1A1A"/>
                <w:sz w:val="24"/>
              </w:rPr>
              <w:t>Gerenciamento de tecnologias em serviços de saúde.</w:t>
            </w:r>
          </w:p>
        </w:tc>
        <w:tc>
          <w:tcPr>
            <w:tcW w:type="dxa" w:w="3842"/>
          </w:tcPr>
          <w:p>
            <w:pPr>
              <w:spacing w:after="0"/>
              <w:jc w:val="left"/>
            </w:pPr>
            <w:r/>
            <w:r>
              <w:rPr>
                <w:rFonts w:ascii="Calibri" w:hAnsi="Calibri"/>
                <w:b w:val="0"/>
                <w:color w:val="1A1A1A"/>
                <w:sz w:val="24"/>
              </w:rPr>
              <w:t>Plano de gerenciamento, rastreabilidade, guarda e monitoramento.</w:t>
            </w:r>
          </w:p>
        </w:tc>
      </w:tr>
      <w:tr>
        <w:trPr>
          <w:cantSplit/>
        </w:trPr>
        <w:tc>
          <w:tcPr>
            <w:tcW w:type="dxa" w:w="2138"/>
            <w:shd w:val="clear" w:color="auto" w:fill="F2F5F8"/>
          </w:tcPr>
          <w:p>
            <w:pPr>
              <w:spacing w:after="0"/>
              <w:jc w:val="left"/>
            </w:pPr>
            <w:r/>
            <w:r>
              <w:rPr>
                <w:rFonts w:ascii="Calibri" w:hAnsi="Calibri"/>
                <w:b w:val="0"/>
                <w:color w:val="1A1A1A"/>
                <w:sz w:val="24"/>
              </w:rPr>
              <w:t>RDC Anvisa nº 751/2022</w:t>
            </w:r>
          </w:p>
        </w:tc>
        <w:tc>
          <w:tcPr>
            <w:tcW w:type="dxa" w:w="3092"/>
            <w:shd w:val="clear" w:color="auto" w:fill="F2F5F8"/>
          </w:tcPr>
          <w:p>
            <w:pPr>
              <w:spacing w:after="0"/>
              <w:jc w:val="left"/>
            </w:pPr>
            <w:r/>
            <w:r>
              <w:rPr>
                <w:rFonts w:ascii="Calibri" w:hAnsi="Calibri"/>
                <w:b w:val="0"/>
                <w:color w:val="1A1A1A"/>
                <w:sz w:val="24"/>
              </w:rPr>
              <w:t>Dispositivos médicos: classificação e regularização.</w:t>
            </w:r>
          </w:p>
        </w:tc>
        <w:tc>
          <w:tcPr>
            <w:tcW w:type="dxa" w:w="3842"/>
            <w:shd w:val="clear" w:color="auto" w:fill="F2F5F8"/>
          </w:tcPr>
          <w:p>
            <w:pPr>
              <w:spacing w:after="0"/>
              <w:jc w:val="left"/>
            </w:pPr>
            <w:r/>
            <w:r>
              <w:rPr>
                <w:rFonts w:ascii="Calibri" w:hAnsi="Calibri"/>
                <w:b w:val="0"/>
                <w:color w:val="1A1A1A"/>
                <w:sz w:val="24"/>
              </w:rPr>
              <w:t>Registro, notificação, rotulagem e instruções de uso.</w:t>
            </w:r>
          </w:p>
        </w:tc>
      </w:tr>
      <w:tr>
        <w:trPr>
          <w:cantSplit/>
        </w:trPr>
        <w:tc>
          <w:tcPr>
            <w:tcW w:type="dxa" w:w="2138"/>
          </w:tcPr>
          <w:p>
            <w:pPr>
              <w:spacing w:after="0"/>
              <w:jc w:val="left"/>
            </w:pPr>
            <w:r/>
            <w:r>
              <w:rPr>
                <w:rFonts w:ascii="Calibri" w:hAnsi="Calibri"/>
                <w:b w:val="0"/>
                <w:color w:val="1A1A1A"/>
                <w:sz w:val="24"/>
              </w:rPr>
              <w:t>RDC Anvisa nº 549/2021</w:t>
            </w:r>
          </w:p>
        </w:tc>
        <w:tc>
          <w:tcPr>
            <w:tcW w:type="dxa" w:w="3092"/>
          </w:tcPr>
          <w:p>
            <w:pPr>
              <w:spacing w:after="0"/>
              <w:jc w:val="left"/>
            </w:pPr>
            <w:r/>
            <w:r>
              <w:rPr>
                <w:rFonts w:ascii="Calibri" w:hAnsi="Calibri"/>
                <w:b w:val="0"/>
                <w:color w:val="1A1A1A"/>
                <w:sz w:val="24"/>
              </w:rPr>
              <w:t>Certificação de conformidade de equipamentos sob regime aplicável.</w:t>
            </w:r>
          </w:p>
        </w:tc>
        <w:tc>
          <w:tcPr>
            <w:tcW w:type="dxa" w:w="3842"/>
          </w:tcPr>
          <w:p>
            <w:pPr>
              <w:spacing w:after="0"/>
              <w:jc w:val="left"/>
            </w:pPr>
            <w:r/>
            <w:r>
              <w:rPr>
                <w:rFonts w:ascii="Calibri" w:hAnsi="Calibri"/>
                <w:b w:val="0"/>
                <w:color w:val="1A1A1A"/>
                <w:sz w:val="24"/>
              </w:rPr>
              <w:t>Conformidade de equipamentos eletromédicos.</w:t>
            </w:r>
          </w:p>
        </w:tc>
      </w:tr>
      <w:tr>
        <w:trPr>
          <w:cantSplit/>
        </w:trPr>
        <w:tc>
          <w:tcPr>
            <w:tcW w:type="dxa" w:w="2138"/>
            <w:shd w:val="clear" w:color="auto" w:fill="F2F5F8"/>
          </w:tcPr>
          <w:p>
            <w:pPr>
              <w:spacing w:after="0"/>
              <w:jc w:val="left"/>
            </w:pPr>
            <w:r/>
            <w:r>
              <w:rPr>
                <w:rFonts w:ascii="Calibri" w:hAnsi="Calibri"/>
                <w:b w:val="0"/>
                <w:color w:val="1A1A1A"/>
                <w:sz w:val="24"/>
              </w:rPr>
              <w:t>Lei nº 13.709/2018</w:t>
            </w:r>
          </w:p>
        </w:tc>
        <w:tc>
          <w:tcPr>
            <w:tcW w:type="dxa" w:w="3092"/>
            <w:shd w:val="clear" w:color="auto" w:fill="F2F5F8"/>
          </w:tcPr>
          <w:p>
            <w:pPr>
              <w:spacing w:after="0"/>
              <w:jc w:val="left"/>
            </w:pPr>
            <w:r/>
            <w:r>
              <w:rPr>
                <w:rFonts w:ascii="Calibri" w:hAnsi="Calibri"/>
                <w:b w:val="0"/>
                <w:color w:val="1A1A1A"/>
                <w:sz w:val="24"/>
              </w:rPr>
              <w:t>Lei Geral de Proteção de Dados Pessoais.</w:t>
            </w:r>
          </w:p>
        </w:tc>
        <w:tc>
          <w:tcPr>
            <w:tcW w:type="dxa" w:w="3842"/>
            <w:shd w:val="clear" w:color="auto" w:fill="F2F5F8"/>
          </w:tcPr>
          <w:p>
            <w:pPr>
              <w:spacing w:after="0"/>
              <w:jc w:val="left"/>
            </w:pPr>
            <w:r/>
            <w:r>
              <w:rPr>
                <w:rFonts w:ascii="Calibri" w:hAnsi="Calibri"/>
                <w:b w:val="0"/>
                <w:color w:val="1A1A1A"/>
                <w:sz w:val="24"/>
              </w:rPr>
              <w:t>Imagens clínicas, prontuário e dados de saúde.</w:t>
            </w:r>
          </w:p>
        </w:tc>
      </w:tr>
      <w:tr>
        <w:trPr>
          <w:cantSplit/>
        </w:trPr>
        <w:tc>
          <w:tcPr>
            <w:tcW w:type="dxa" w:w="2138"/>
          </w:tcPr>
          <w:p>
            <w:pPr>
              <w:spacing w:after="0"/>
              <w:jc w:val="left"/>
            </w:pPr>
            <w:r/>
            <w:r>
              <w:rPr>
                <w:rFonts w:ascii="Calibri" w:hAnsi="Calibri"/>
                <w:b w:val="0"/>
                <w:color w:val="1A1A1A"/>
                <w:sz w:val="24"/>
              </w:rPr>
              <w:t>Lei nº 15.378, de 6 de abril de 2026</w:t>
            </w:r>
          </w:p>
        </w:tc>
        <w:tc>
          <w:tcPr>
            <w:tcW w:type="dxa" w:w="3092"/>
          </w:tcPr>
          <w:p>
            <w:pPr>
              <w:spacing w:after="0"/>
              <w:jc w:val="left"/>
            </w:pPr>
            <w:r/>
            <w:r>
              <w:rPr>
                <w:rFonts w:ascii="Calibri" w:hAnsi="Calibri"/>
                <w:b w:val="0"/>
                <w:color w:val="1A1A1A"/>
                <w:sz w:val="24"/>
              </w:rPr>
              <w:t>Institui o Estatuto dos Direitos do Paciente.</w:t>
            </w:r>
          </w:p>
        </w:tc>
        <w:tc>
          <w:tcPr>
            <w:tcW w:type="dxa" w:w="3842"/>
          </w:tcPr>
          <w:p>
            <w:pPr>
              <w:spacing w:after="0"/>
              <w:jc w:val="left"/>
            </w:pPr>
            <w:r/>
            <w:r>
              <w:rPr>
                <w:rFonts w:ascii="Calibri" w:hAnsi="Calibri"/>
                <w:b w:val="0"/>
                <w:color w:val="1A1A1A"/>
                <w:sz w:val="24"/>
              </w:rPr>
              <w:t>Informação, autonomia, consentimento, acesso ao prontuário e confidencialidade. Alcança a rede privada, incluindo clínicas e consultórios.</w:t>
            </w:r>
          </w:p>
        </w:tc>
      </w:tr>
      <w:tr>
        <w:trPr>
          <w:cantSplit/>
        </w:trPr>
        <w:tc>
          <w:tcPr>
            <w:tcW w:type="dxa" w:w="2138"/>
            <w:shd w:val="clear" w:color="auto" w:fill="F2F5F8"/>
          </w:tcPr>
          <w:p>
            <w:pPr>
              <w:spacing w:after="0"/>
              <w:jc w:val="left"/>
            </w:pPr>
            <w:r/>
            <w:r>
              <w:rPr>
                <w:rFonts w:ascii="Calibri" w:hAnsi="Calibri"/>
                <w:b w:val="0"/>
                <w:color w:val="1A1A1A"/>
                <w:sz w:val="24"/>
              </w:rPr>
              <w:t>Lei nº 12.842/2013</w:t>
            </w:r>
          </w:p>
        </w:tc>
        <w:tc>
          <w:tcPr>
            <w:tcW w:type="dxa" w:w="3092"/>
            <w:shd w:val="clear" w:color="auto" w:fill="F2F5F8"/>
          </w:tcPr>
          <w:p>
            <w:pPr>
              <w:spacing w:after="0"/>
              <w:jc w:val="left"/>
            </w:pPr>
            <w:r/>
            <w:r>
              <w:rPr>
                <w:rFonts w:ascii="Calibri" w:hAnsi="Calibri"/>
                <w:b w:val="0"/>
                <w:color w:val="1A1A1A"/>
                <w:sz w:val="24"/>
              </w:rPr>
              <w:t>Lei do Ato Médico.</w:t>
            </w:r>
          </w:p>
        </w:tc>
        <w:tc>
          <w:tcPr>
            <w:tcW w:type="dxa" w:w="3842"/>
            <w:shd w:val="clear" w:color="auto" w:fill="F2F5F8"/>
          </w:tcPr>
          <w:p>
            <w:pPr>
              <w:spacing w:after="0"/>
              <w:jc w:val="left"/>
            </w:pPr>
            <w:r/>
            <w:r>
              <w:rPr>
                <w:rFonts w:ascii="Calibri" w:hAnsi="Calibri"/>
                <w:b w:val="0"/>
                <w:color w:val="1A1A1A"/>
                <w:sz w:val="24"/>
              </w:rPr>
              <w:t>Delimitação de atos privativos. Referência das controvérsias judiciais registradas.</w:t>
            </w:r>
          </w:p>
        </w:tc>
      </w:tr>
      <w:tr>
        <w:trPr>
          <w:cantSplit/>
        </w:trPr>
        <w:tc>
          <w:tcPr>
            <w:tcW w:type="dxa" w:w="2138"/>
          </w:tcPr>
          <w:p>
            <w:pPr>
              <w:spacing w:after="0"/>
              <w:jc w:val="left"/>
            </w:pPr>
            <w:r/>
            <w:r>
              <w:rPr>
                <w:rFonts w:ascii="Calibri" w:hAnsi="Calibri"/>
                <w:b w:val="0"/>
                <w:color w:val="1A1A1A"/>
                <w:sz w:val="24"/>
              </w:rPr>
              <w:t>Portaria CRO-MG nº 190/2026</w:t>
            </w:r>
          </w:p>
        </w:tc>
        <w:tc>
          <w:tcPr>
            <w:tcW w:type="dxa" w:w="3092"/>
          </w:tcPr>
          <w:p>
            <w:pPr>
              <w:spacing w:after="0"/>
              <w:jc w:val="left"/>
            </w:pPr>
            <w:r/>
            <w:r>
              <w:rPr>
                <w:rFonts w:ascii="Calibri" w:hAnsi="Calibri"/>
                <w:b w:val="0"/>
                <w:color w:val="1A1A1A"/>
                <w:sz w:val="24"/>
              </w:rPr>
              <w:t>Constitui a Câmara Técnica de HOF e seus Núcleos.</w:t>
            </w:r>
          </w:p>
        </w:tc>
        <w:tc>
          <w:tcPr>
            <w:tcW w:type="dxa" w:w="3842"/>
          </w:tcPr>
          <w:p>
            <w:pPr>
              <w:spacing w:after="0"/>
              <w:jc w:val="left"/>
            </w:pPr>
            <w:r/>
            <w:r>
              <w:rPr>
                <w:rFonts w:ascii="Calibri" w:hAnsi="Calibri"/>
                <w:b w:val="0"/>
                <w:color w:val="1A1A1A"/>
                <w:sz w:val="24"/>
              </w:rPr>
              <w:t>Competência e composição do Núcleo 5.</w:t>
            </w:r>
          </w:p>
        </w:tc>
      </w:tr>
    </w:tbl>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N5-MATR-01 · Matriz de Avaliação Tecnológica · versão 2.0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N5-MATR-01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