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360" w:after="160"/>
        <w:jc w:val="left"/>
        <w:pBdr>
          <w:bottom w:val="single" w:sz="8" w:space="4" w:color="143C64"/>
        </w:pBdr>
      </w:pPr>
      <w:r>
        <w:rPr>
          <w:rFonts w:ascii="Calibri" w:hAnsi="Calibri"/>
          <w:b/>
          <w:color w:val="143C64"/>
          <w:sz w:val="30"/>
        </w:rPr>
        <w:t>POP-N5-12  Documentação fotográfica padronizada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81"/>
        <w:gridCol w:w="5491"/>
      </w:tblGrid>
      <w:tr>
        <w:trPr>
          <w:cantSplit/>
          <w:tblHeader/>
        </w:trPr>
        <w:tc>
          <w:tcPr>
            <w:tcW w:type="dxa" w:w="3581"/>
            <w:shd w:val="clear" w:color="auto" w:fill="143C64"/>
          </w:tcPr>
          <w:p>
            <w:pPr>
              <w:spacing w:after="0"/>
              <w:jc w:val="left"/>
            </w:pPr>
            <w:r/>
            <w:r>
              <w:rPr>
                <w:rFonts w:ascii="Calibri" w:hAnsi="Calibri"/>
                <w:b/>
                <w:color w:val="FFFFFF"/>
                <w:sz w:val="24"/>
              </w:rPr>
              <w:t>Campo</w:t>
            </w:r>
          </w:p>
        </w:tc>
        <w:tc>
          <w:tcPr>
            <w:tcW w:type="dxa" w:w="5491"/>
            <w:shd w:val="clear" w:color="auto" w:fill="143C64"/>
          </w:tcPr>
          <w:p>
            <w:pPr>
              <w:spacing w:after="0"/>
              <w:jc w:val="left"/>
            </w:pPr>
            <w:r/>
            <w:r>
              <w:rPr>
                <w:rFonts w:ascii="Calibri" w:hAnsi="Calibri"/>
                <w:b/>
                <w:color w:val="FFFFFF"/>
                <w:sz w:val="24"/>
              </w:rPr>
              <w:t>Conteúdo</w:t>
            </w:r>
          </w:p>
        </w:tc>
      </w:tr>
      <w:tr>
        <w:trPr>
          <w:cantSplit/>
        </w:trPr>
        <w:tc>
          <w:tcPr>
            <w:tcW w:type="dxa" w:w="3581"/>
          </w:tcPr>
          <w:p>
            <w:pPr>
              <w:spacing w:after="0"/>
              <w:jc w:val="left"/>
            </w:pPr>
            <w:r/>
            <w:r>
              <w:rPr>
                <w:rFonts w:ascii="Calibri" w:hAnsi="Calibri"/>
                <w:b/>
                <w:color w:val="1A1A1A"/>
                <w:sz w:val="24"/>
              </w:rPr>
              <w:t>1. Identificação</w:t>
            </w:r>
          </w:p>
        </w:tc>
        <w:tc>
          <w:tcPr>
            <w:tcW w:type="dxa" w:w="5491"/>
          </w:tcPr>
          <w:p>
            <w:pPr>
              <w:spacing w:after="0"/>
              <w:jc w:val="left"/>
            </w:pPr>
            <w:r/>
            <w:r>
              <w:rPr>
                <w:rFonts w:ascii="Calibri" w:hAnsi="Calibri"/>
                <w:b w:val="0"/>
                <w:color w:val="1A1A1A"/>
                <w:sz w:val="24"/>
              </w:rPr>
              <w:t>Código POP-N5-12. Versão 1.0. Emissão em 26 de agosto de 2026. Próxima revisão em até doze meses. Onda de produção 3. Situação de escopo: Livre. Responsável técnico pela redação: Campo de preenchimento pelo serviço.</w:t>
            </w:r>
          </w:p>
        </w:tc>
      </w:tr>
      <w:tr>
        <w:trPr>
          <w:cantSplit/>
        </w:trPr>
        <w:tc>
          <w:tcPr>
            <w:tcW w:type="dxa" w:w="3581"/>
            <w:shd w:val="clear" w:color="auto" w:fill="F2F5F8"/>
          </w:tcPr>
          <w:p>
            <w:pPr>
              <w:spacing w:after="0"/>
              <w:jc w:val="left"/>
            </w:pPr>
            <w:r/>
            <w:r>
              <w:rPr>
                <w:rFonts w:ascii="Calibri" w:hAnsi="Calibri"/>
                <w:b/>
                <w:color w:val="1A1A1A"/>
                <w:sz w:val="24"/>
              </w:rPr>
              <w:t>2. Objetivo e alcance</w:t>
            </w:r>
          </w:p>
        </w:tc>
        <w:tc>
          <w:tcPr>
            <w:tcW w:type="dxa" w:w="5491"/>
            <w:shd w:val="clear" w:color="auto" w:fill="F2F5F8"/>
          </w:tcPr>
          <w:p>
            <w:pPr>
              <w:spacing w:after="0"/>
              <w:jc w:val="left"/>
            </w:pPr>
            <w:r/>
            <w:r>
              <w:rPr>
                <w:rFonts w:ascii="Calibri" w:hAnsi="Calibri"/>
                <w:b w:val="0"/>
                <w:color w:val="1A1A1A"/>
                <w:sz w:val="24"/>
              </w:rPr>
              <w:t>Padronizar a obtenção, o armazenamento e o uso de imagens clínicas, garantindo comparabilidade entre sessões e conformidade com a proteção de dados.</w:t>
            </w:r>
          </w:p>
        </w:tc>
      </w:tr>
      <w:tr>
        <w:trPr>
          <w:cantSplit/>
        </w:trPr>
        <w:tc>
          <w:tcPr>
            <w:tcW w:type="dxa" w:w="3581"/>
          </w:tcPr>
          <w:p>
            <w:pPr>
              <w:spacing w:after="0"/>
              <w:jc w:val="left"/>
            </w:pPr>
            <w:r/>
            <w:r>
              <w:rPr>
                <w:rFonts w:ascii="Calibri" w:hAnsi="Calibri"/>
                <w:b/>
                <w:color w:val="1A1A1A"/>
                <w:sz w:val="24"/>
              </w:rPr>
              <w:t>3. Situação regulatória</w:t>
            </w:r>
          </w:p>
        </w:tc>
        <w:tc>
          <w:tcPr>
            <w:tcW w:type="dxa" w:w="5491"/>
          </w:tcPr>
          <w:p>
            <w:pPr>
              <w:spacing w:after="0"/>
              <w:jc w:val="left"/>
            </w:pPr>
            <w:r/>
            <w:r>
              <w:rPr>
                <w:rFonts w:ascii="Calibri" w:hAnsi="Calibri"/>
                <w:b w:val="0"/>
                <w:color w:val="1A1A1A"/>
                <w:sz w:val="24"/>
              </w:rPr>
              <w:t>Lei nº 13.709/2018 e Lei nº 15.378/2026. O consentimento para uso assistencial e o consentimento para divulgação são distintos e não se presumem um do outro.</w:t>
            </w:r>
          </w:p>
        </w:tc>
      </w:tr>
      <w:tr>
        <w:trPr>
          <w:cantSplit/>
        </w:trPr>
        <w:tc>
          <w:tcPr>
            <w:tcW w:type="dxa" w:w="3581"/>
            <w:shd w:val="clear" w:color="auto" w:fill="F2F5F8"/>
          </w:tcPr>
          <w:p>
            <w:pPr>
              <w:spacing w:after="0"/>
              <w:jc w:val="left"/>
            </w:pPr>
            <w:r/>
            <w:r>
              <w:rPr>
                <w:rFonts w:ascii="Calibri" w:hAnsi="Calibri"/>
                <w:b/>
                <w:color w:val="1A1A1A"/>
                <w:sz w:val="24"/>
              </w:rPr>
              <w:t>4. Competência exigida</w:t>
            </w:r>
          </w:p>
        </w:tc>
        <w:tc>
          <w:tcPr>
            <w:tcW w:type="dxa" w:w="5491"/>
            <w:shd w:val="clear" w:color="auto" w:fill="F2F5F8"/>
          </w:tcPr>
          <w:p>
            <w:pPr>
              <w:spacing w:after="0"/>
              <w:jc w:val="left"/>
            </w:pPr>
            <w:r/>
            <w:r>
              <w:rPr>
                <w:rFonts w:ascii="Calibri" w:hAnsi="Calibri"/>
                <w:b w:val="0"/>
                <w:color w:val="1A1A1A"/>
                <w:sz w:val="24"/>
              </w:rPr>
              <w:t>Profissional ou integrante da equipe designado e treinado. Responsável Técnico pela política de guarda e de acesso.</w:t>
            </w:r>
          </w:p>
        </w:tc>
      </w:tr>
      <w:tr>
        <w:trPr>
          <w:cantSplit/>
        </w:trPr>
        <w:tc>
          <w:tcPr>
            <w:tcW w:type="dxa" w:w="3581"/>
          </w:tcPr>
          <w:p>
            <w:pPr>
              <w:spacing w:after="0"/>
              <w:jc w:val="left"/>
            </w:pPr>
            <w:r/>
            <w:r>
              <w:rPr>
                <w:rFonts w:ascii="Calibri" w:hAnsi="Calibri"/>
                <w:b/>
                <w:color w:val="1A1A1A"/>
                <w:sz w:val="24"/>
              </w:rPr>
              <w:t>5. Materiais e equipamentos</w:t>
            </w:r>
          </w:p>
        </w:tc>
        <w:tc>
          <w:tcPr>
            <w:tcW w:type="dxa" w:w="5491"/>
          </w:tcPr>
          <w:p>
            <w:pPr>
              <w:spacing w:after="0"/>
              <w:jc w:val="left"/>
            </w:pPr>
            <w:r/>
            <w:r>
              <w:rPr>
                <w:rFonts w:ascii="Calibri" w:hAnsi="Calibri"/>
                <w:b w:val="0"/>
                <w:color w:val="1A1A1A"/>
                <w:sz w:val="24"/>
              </w:rPr>
              <w:t>Equipamento fotográfico; suporte ou marcação de posicionamento; iluminação padronizada; fundo neutro; afastadores quando aplicáveis; sistema de armazenamento com controle de acesso.</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Consentimento específico para uso de imagem assinado, com finalidade declarada.</w:t>
      </w:r>
    </w:p>
    <w:p>
      <w:pPr>
        <w:pStyle w:val="ListBullet"/>
        <w:spacing w:after="60"/>
        <w:ind w:left="397"/>
        <w:jc w:val="both"/>
      </w:pPr>
      <w:r>
        <w:rPr>
          <w:rFonts w:ascii="Calibri" w:hAnsi="Calibri"/>
          <w:color w:val="1A1A1A"/>
          <w:sz w:val="24"/>
        </w:rPr>
        <w:t>☐  Equipamento e iluminação nas condições padronizadas do serviço.</w:t>
      </w:r>
    </w:p>
    <w:p>
      <w:pPr>
        <w:pStyle w:val="ListBullet"/>
        <w:spacing w:after="60"/>
        <w:ind w:left="397"/>
        <w:jc w:val="both"/>
      </w:pPr>
      <w:r>
        <w:rPr>
          <w:rFonts w:ascii="Calibri" w:hAnsi="Calibri"/>
          <w:color w:val="1A1A1A"/>
          <w:sz w:val="24"/>
        </w:rPr>
        <w:t>☐  Identificação do paciente conferida antes da captura.</w:t>
      </w:r>
    </w:p>
    <w:p>
      <w:pPr>
        <w:pStyle w:val="ListBullet"/>
        <w:spacing w:after="60"/>
        <w:ind w:left="397"/>
        <w:jc w:val="both"/>
      </w:pPr>
      <w:r>
        <w:rPr>
          <w:rFonts w:ascii="Calibri" w:hAnsi="Calibri"/>
          <w:color w:val="1A1A1A"/>
          <w:sz w:val="24"/>
        </w:rPr>
        <w:t>☐  Sistema de armazenamento acessível e com controle de acesso ativo.</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Realizar tomadas padronizadas frontal, oblíquas e de perfil, conforme protocolo do serviço.</w:t>
      </w:r>
    </w:p>
    <w:p>
      <w:pPr>
        <w:pStyle w:val="ListNumber"/>
        <w:spacing w:after="60"/>
        <w:ind w:left="397"/>
        <w:jc w:val="both"/>
      </w:pPr>
      <w:r>
        <w:rPr>
          <w:rFonts w:ascii="Calibri" w:hAnsi="Calibri"/>
          <w:color w:val="1A1A1A"/>
          <w:sz w:val="24"/>
        </w:rPr>
        <w:t>Manter distância, enquadramento, iluminação, fundo e posicionamento constantes entre sessões.</w:t>
      </w:r>
    </w:p>
    <w:p>
      <w:pPr>
        <w:pStyle w:val="ListNumber"/>
        <w:spacing w:after="60"/>
        <w:ind w:left="397"/>
        <w:jc w:val="both"/>
      </w:pPr>
      <w:r>
        <w:rPr>
          <w:rFonts w:ascii="Calibri" w:hAnsi="Calibri"/>
          <w:color w:val="1A1A1A"/>
          <w:sz w:val="24"/>
        </w:rPr>
        <w:t>Evitar adornos, maquiagem e elementos que alterem a comparabilidade, quando pertinente.</w:t>
      </w:r>
    </w:p>
    <w:p>
      <w:pPr>
        <w:pStyle w:val="ListNumber"/>
        <w:spacing w:after="60"/>
        <w:ind w:left="397"/>
        <w:jc w:val="both"/>
      </w:pPr>
      <w:r>
        <w:rPr>
          <w:rFonts w:ascii="Calibri" w:hAnsi="Calibri"/>
          <w:color w:val="1A1A1A"/>
          <w:sz w:val="24"/>
        </w:rPr>
        <w:t>Conferir a qualidade da imagem antes de encerrar a sessão de captura.</w:t>
      </w:r>
    </w:p>
    <w:p>
      <w:pPr>
        <w:pStyle w:val="ListNumber"/>
        <w:spacing w:after="60"/>
        <w:ind w:left="397"/>
        <w:jc w:val="both"/>
      </w:pPr>
      <w:r>
        <w:rPr>
          <w:rFonts w:ascii="Calibri" w:hAnsi="Calibri"/>
          <w:color w:val="1A1A1A"/>
          <w:sz w:val="24"/>
        </w:rPr>
        <w:t>Transferir as imagens ao sistema de armazenamento e eliminá-las do dispositivo de captura quando este não for o repositório definitivo.</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Imagem capturada sem consentimento correspondente.</w:t>
      </w:r>
    </w:p>
    <w:p>
      <w:pPr>
        <w:pStyle w:val="ListBullet"/>
        <w:spacing w:after="60"/>
        <w:ind w:left="397"/>
        <w:jc w:val="both"/>
      </w:pPr>
      <w:r>
        <w:rPr>
          <w:rFonts w:ascii="Calibri" w:hAnsi="Calibri"/>
          <w:color w:val="1A1A1A"/>
          <w:sz w:val="24"/>
        </w:rPr>
        <w:t>Armazenamento em dispositivo pessoal ou aplicativo de mensagem.</w:t>
      </w:r>
    </w:p>
    <w:p>
      <w:pPr>
        <w:pStyle w:val="ListBullet"/>
        <w:spacing w:after="60"/>
        <w:ind w:left="397"/>
        <w:jc w:val="both"/>
      </w:pPr>
      <w:r>
        <w:rPr>
          <w:rFonts w:ascii="Calibri" w:hAnsi="Calibri"/>
          <w:color w:val="1A1A1A"/>
          <w:sz w:val="24"/>
        </w:rPr>
        <w:t>Divergência de padrão que inviabilize a comparação entre sessões.</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Suspeita de acesso indevido ou de vazamento de imagem exige registro imediato, avaliação de comunicação ao titular e às autoridades competentes, e revisão dos controles de acesso.</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Data, finalidade clínica e identificação do paciente.</w:t>
      </w:r>
    </w:p>
    <w:p>
      <w:pPr>
        <w:pStyle w:val="ListBullet"/>
        <w:spacing w:after="60"/>
        <w:ind w:left="397"/>
        <w:jc w:val="both"/>
      </w:pPr>
      <w:r>
        <w:rPr>
          <w:rFonts w:ascii="Calibri" w:hAnsi="Calibri"/>
          <w:color w:val="1A1A1A"/>
          <w:sz w:val="24"/>
        </w:rPr>
        <w:t>Consentimento vinculado à finalidade.</w:t>
      </w:r>
    </w:p>
    <w:p>
      <w:pPr>
        <w:pStyle w:val="ListBullet"/>
        <w:spacing w:after="60"/>
        <w:ind w:left="397"/>
        <w:jc w:val="both"/>
      </w:pPr>
      <w:r>
        <w:rPr>
          <w:rFonts w:ascii="Calibri" w:hAnsi="Calibri"/>
          <w:color w:val="1A1A1A"/>
          <w:sz w:val="24"/>
        </w:rPr>
        <w:t>Responsável pela captura.</w:t>
      </w:r>
    </w:p>
    <w:p>
      <w:pPr>
        <w:pStyle w:val="ListBullet"/>
        <w:spacing w:after="60"/>
        <w:ind w:left="397"/>
        <w:jc w:val="both"/>
      </w:pPr>
      <w:r>
        <w:rPr>
          <w:rFonts w:ascii="Calibri" w:hAnsi="Calibri"/>
          <w:color w:val="1A1A1A"/>
          <w:sz w:val="24"/>
        </w:rPr>
        <w:t>Local de armazenamento e política de retenção aplicada.</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Revisar periodicamente o controle de acesso e a política de retenção. Eliminar imagens conforme a política declarada, com registro da eliminação.</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Lei nº 13.709/2018. Lei nº 15.378/2026. Documento 10 do pacote. POP-N5-T03.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POP-N5-12 · Documentação fotográfica padronizada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POP-N5-12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