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600"/>
      </w:pPr>
    </w:p>
    <w:p>
      <w:pPr>
        <w:spacing w:after="40"/>
        <w:jc w:val="center"/>
      </w:pPr>
      <w:r>
        <w:rPr>
          <w:rFonts w:ascii="Calibri" w:hAnsi="Calibri"/>
          <w:b/>
          <w:i w:val="0"/>
          <w:color w:val="444A52"/>
          <w:sz w:val="24"/>
        </w:rPr>
        <w:t>CONSELHO REGIONAL DE ODONTOLOGIA DE MINAS GERAIS</w:t>
      </w:r>
    </w:p>
    <w:p>
      <w:pPr>
        <w:spacing w:after="40"/>
        <w:jc w:val="center"/>
      </w:pPr>
      <w:r>
        <w:rPr>
          <w:rFonts w:ascii="Calibri" w:hAnsi="Calibri"/>
          <w:b w:val="0"/>
          <w:i w:val="0"/>
          <w:color w:val="444A52"/>
          <w:sz w:val="24"/>
        </w:rPr>
        <w:t>Câmara Técnica de Harmonização Orofacial</w:t>
      </w:r>
    </w:p>
    <w:p>
      <w:pPr>
        <w:spacing w:after="600"/>
        <w:jc w:val="center"/>
      </w:pPr>
      <w:r>
        <w:rPr>
          <w:rFonts w:ascii="Calibri" w:hAnsi="Calibri"/>
          <w:b w:val="0"/>
          <w:i w:val="0"/>
          <w:color w:val="444A52"/>
          <w:sz w:val="24"/>
        </w:rPr>
        <w:t>Núcleo 5 · Inovação, Tecnologias e Segurança Clínica</w:t>
      </w:r>
    </w:p>
    <w:p>
      <w:pPr>
        <w:spacing w:after="200"/>
        <w:jc w:val="center"/>
      </w:pPr>
      <w:r>
        <w:rPr>
          <w:rFonts w:ascii="Calibri" w:hAnsi="Calibri"/>
          <w:b/>
          <w:i w:val="0"/>
          <w:color w:val="8A1C1C"/>
          <w:sz w:val="24"/>
        </w:rPr>
        <w:t>PROPOSTA DE IMPLEMENTAÇÃO DIGITAL</w:t>
      </w:r>
    </w:p>
    <w:p>
      <w:pPr>
        <w:spacing w:after="160"/>
        <w:jc w:val="center"/>
      </w:pPr>
      <w:r>
        <w:rPr>
          <w:rFonts w:ascii="Calibri" w:hAnsi="Calibri"/>
          <w:b/>
          <w:color w:val="143C64"/>
          <w:sz w:val="48"/>
        </w:rPr>
        <w:t>HOF Segura Digital</w:t>
      </w:r>
    </w:p>
    <w:p>
      <w:pPr>
        <w:spacing w:after="720"/>
        <w:jc w:val="center"/>
      </w:pPr>
      <w:r>
        <w:rPr>
          <w:rFonts w:ascii="Calibri" w:hAnsi="Calibri"/>
          <w:b w:val="0"/>
          <w:i w:val="0"/>
          <w:color w:val="444A52"/>
          <w:sz w:val="26"/>
        </w:rPr>
        <w:t>Landing page institucional, hub responsivo e evolução para aplicativo web da Câmara Técnica de Harmonização Orofacial do CRO-MG</w:t>
      </w:r>
    </w:p>
    <w:tbl>
      <w:tblPr>
        <w:tblW w:type="auto" w:w="0"/>
        <w:jc w:val="center"/>
        <w:tblLook w:firstColumn="1" w:firstRow="1" w:lastColumn="0" w:lastRow="0" w:noHBand="0" w:noVBand="1" w:val="04A0"/>
        <w:tblBorders>
          <w:top w:val="single" w:sz="6" w:space="0" w:color="B9C2CC"/>
          <w:left w:val="single" w:sz="6" w:space="0" w:color="B9C2CC"/>
          <w:bottom w:val="single" w:sz="6" w:space="0" w:color="B9C2CC"/>
          <w:right w:val="single" w:sz="6" w:space="0" w:color="B9C2CC"/>
          <w:insideH w:val="single" w:sz="6" w:space="0" w:color="B9C2CC"/>
          <w:insideV w:val="single" w:sz="6" w:space="0" w:color="B9C2CC"/>
        </w:tblBorders>
        <w:tblCellMar>
          <w:top w:w="60" w:type="dxa"/>
          <w:left w:w="100" w:type="dxa"/>
          <w:bottom w:w="60" w:type="dxa"/>
          <w:right w:w="100" w:type="dxa"/>
        </w:tblCellMar>
        <w:tblLayout w:type="fixed"/>
      </w:tblPr>
      <w:tblGrid>
        <w:gridCol w:w="3731"/>
        <w:gridCol w:w="5341"/>
      </w:tblGrid>
      <w:tr>
        <w:trPr>
          <w:cantSplit/>
          <w:tblHeader/>
        </w:trPr>
        <w:tc>
          <w:tcPr>
            <w:tcW w:type="dxa" w:w="3731"/>
            <w:shd w:val="clear" w:color="auto" w:fill="143C64"/>
          </w:tcPr>
          <w:p>
            <w:pPr>
              <w:spacing w:after="0"/>
              <w:jc w:val="left"/>
            </w:pPr>
            <w:r/>
            <w:r>
              <w:rPr>
                <w:rFonts w:ascii="Calibri" w:hAnsi="Calibri"/>
                <w:b/>
                <w:color w:val="FFFFFF"/>
                <w:sz w:val="24"/>
              </w:rPr>
              <w:t>Identificação do documento</w:t>
            </w:r>
          </w:p>
        </w:tc>
        <w:tc>
          <w:tcPr>
            <w:tcW w:type="dxa" w:w="5341"/>
            <w:shd w:val="clear" w:color="auto" w:fill="143C64"/>
          </w:tcPr>
          <w:p>
            <w:pPr>
              <w:spacing w:after="0"/>
              <w:jc w:val="left"/>
            </w:pPr>
            <w:r/>
            <w:r>
              <w:rPr>
                <w:rFonts w:ascii="Calibri" w:hAnsi="Calibri"/>
                <w:b/>
                <w:color w:val="FFFFFF"/>
                <w:sz w:val="24"/>
              </w:rPr>
              <w:t>Registro</w:t>
            </w:r>
          </w:p>
        </w:tc>
      </w:tr>
      <w:tr>
        <w:trPr>
          <w:cantSplit/>
        </w:trPr>
        <w:tc>
          <w:tcPr>
            <w:tcW w:type="dxa" w:w="3731"/>
          </w:tcPr>
          <w:p>
            <w:pPr>
              <w:spacing w:after="0"/>
              <w:jc w:val="left"/>
            </w:pPr>
            <w:r/>
            <w:r>
              <w:rPr>
                <w:rFonts w:ascii="Calibri" w:hAnsi="Calibri"/>
                <w:b w:val="0"/>
                <w:color w:val="1A1A1A"/>
                <w:sz w:val="24"/>
              </w:rPr>
              <w:t>Código de controle</w:t>
            </w:r>
          </w:p>
        </w:tc>
        <w:tc>
          <w:tcPr>
            <w:tcW w:type="dxa" w:w="5341"/>
          </w:tcPr>
          <w:p>
            <w:pPr>
              <w:spacing w:after="0"/>
              <w:jc w:val="left"/>
            </w:pPr>
            <w:r/>
            <w:r>
              <w:rPr>
                <w:rFonts w:ascii="Calibri" w:hAnsi="Calibri"/>
                <w:b w:val="0"/>
                <w:color w:val="1A1A1A"/>
                <w:sz w:val="24"/>
              </w:rPr>
              <w:t>CT-HOF-DIG-01</w:t>
            </w:r>
          </w:p>
        </w:tc>
      </w:tr>
      <w:tr>
        <w:trPr>
          <w:cantSplit/>
        </w:trPr>
        <w:tc>
          <w:tcPr>
            <w:tcW w:type="dxa" w:w="3731"/>
            <w:shd w:val="clear" w:color="auto" w:fill="F2F5F8"/>
          </w:tcPr>
          <w:p>
            <w:pPr>
              <w:spacing w:after="0"/>
              <w:jc w:val="left"/>
            </w:pPr>
            <w:r/>
            <w:r>
              <w:rPr>
                <w:rFonts w:ascii="Calibri" w:hAnsi="Calibri"/>
                <w:b w:val="0"/>
                <w:color w:val="1A1A1A"/>
                <w:sz w:val="24"/>
              </w:rPr>
              <w:t>Versão</w:t>
            </w:r>
          </w:p>
        </w:tc>
        <w:tc>
          <w:tcPr>
            <w:tcW w:type="dxa" w:w="5341"/>
            <w:shd w:val="clear" w:color="auto" w:fill="F2F5F8"/>
          </w:tcPr>
          <w:p>
            <w:pPr>
              <w:spacing w:after="0"/>
              <w:jc w:val="left"/>
            </w:pPr>
            <w:r/>
            <w:r>
              <w:rPr>
                <w:rFonts w:ascii="Calibri" w:hAnsi="Calibri"/>
                <w:b w:val="0"/>
                <w:color w:val="1A1A1A"/>
                <w:sz w:val="24"/>
              </w:rPr>
              <w:t>1.1</w:t>
            </w:r>
          </w:p>
        </w:tc>
      </w:tr>
      <w:tr>
        <w:trPr>
          <w:cantSplit/>
        </w:trPr>
        <w:tc>
          <w:tcPr>
            <w:tcW w:type="dxa" w:w="3731"/>
          </w:tcPr>
          <w:p>
            <w:pPr>
              <w:spacing w:after="0"/>
              <w:jc w:val="left"/>
            </w:pPr>
            <w:r/>
            <w:r>
              <w:rPr>
                <w:rFonts w:ascii="Calibri" w:hAnsi="Calibri"/>
                <w:b w:val="0"/>
                <w:color w:val="1A1A1A"/>
                <w:sz w:val="24"/>
              </w:rPr>
              <w:t>Data de emissão</w:t>
            </w:r>
          </w:p>
        </w:tc>
        <w:tc>
          <w:tcPr>
            <w:tcW w:type="dxa" w:w="5341"/>
          </w:tcPr>
          <w:p>
            <w:pPr>
              <w:spacing w:after="0"/>
              <w:jc w:val="left"/>
            </w:pPr>
            <w:r/>
            <w:r>
              <w:rPr>
                <w:rFonts w:ascii="Calibri" w:hAnsi="Calibri"/>
                <w:b w:val="0"/>
                <w:color w:val="1A1A1A"/>
                <w:sz w:val="24"/>
              </w:rPr>
              <w:t>26 de agosto de 2026</w:t>
            </w:r>
          </w:p>
        </w:tc>
      </w:tr>
      <w:tr>
        <w:trPr>
          <w:cantSplit/>
        </w:trPr>
        <w:tc>
          <w:tcPr>
            <w:tcW w:type="dxa" w:w="3731"/>
            <w:shd w:val="clear" w:color="auto" w:fill="F2F5F8"/>
          </w:tcPr>
          <w:p>
            <w:pPr>
              <w:spacing w:after="0"/>
              <w:jc w:val="left"/>
            </w:pPr>
            <w:r/>
            <w:r>
              <w:rPr>
                <w:rFonts w:ascii="Calibri" w:hAnsi="Calibri"/>
                <w:b w:val="0"/>
                <w:color w:val="1A1A1A"/>
                <w:sz w:val="24"/>
              </w:rPr>
              <w:t>Situação</w:t>
            </w:r>
          </w:p>
        </w:tc>
        <w:tc>
          <w:tcPr>
            <w:tcW w:type="dxa" w:w="5341"/>
            <w:shd w:val="clear" w:color="auto" w:fill="F2F5F8"/>
          </w:tcPr>
          <w:p>
            <w:pPr>
              <w:spacing w:after="0"/>
              <w:jc w:val="left"/>
            </w:pPr>
            <w:r/>
            <w:r>
              <w:rPr>
                <w:rFonts w:ascii="Calibri" w:hAnsi="Calibri"/>
                <w:b w:val="0"/>
                <w:color w:val="1A1A1A"/>
                <w:sz w:val="24"/>
              </w:rPr>
              <w:t>Submetido à deliberação e à validação institucional</w:t>
            </w:r>
          </w:p>
        </w:tc>
      </w:tr>
      <w:tr>
        <w:trPr>
          <w:cantSplit/>
        </w:trPr>
        <w:tc>
          <w:tcPr>
            <w:tcW w:type="dxa" w:w="3731"/>
          </w:tcPr>
          <w:p>
            <w:pPr>
              <w:spacing w:after="0"/>
              <w:jc w:val="left"/>
            </w:pPr>
            <w:r/>
            <w:r>
              <w:rPr>
                <w:rFonts w:ascii="Calibri" w:hAnsi="Calibri"/>
                <w:b w:val="0"/>
                <w:color w:val="1A1A1A"/>
                <w:sz w:val="24"/>
              </w:rPr>
              <w:t>Elaboração</w:t>
            </w:r>
          </w:p>
        </w:tc>
        <w:tc>
          <w:tcPr>
            <w:tcW w:type="dxa" w:w="5341"/>
          </w:tcPr>
          <w:p>
            <w:pPr>
              <w:spacing w:after="0"/>
              <w:jc w:val="left"/>
            </w:pPr>
            <w:r/>
            <w:r>
              <w:rPr>
                <w:rFonts w:ascii="Calibri" w:hAnsi="Calibri"/>
                <w:b w:val="0"/>
                <w:color w:val="1A1A1A"/>
                <w:sz w:val="24"/>
              </w:rPr>
              <w:t>Núcleo 5 · Inovação, Tecnologias e Segurança Clínica</w:t>
            </w:r>
          </w:p>
        </w:tc>
      </w:tr>
      <w:tr>
        <w:trPr>
          <w:cantSplit/>
        </w:trPr>
        <w:tc>
          <w:tcPr>
            <w:tcW w:type="dxa" w:w="3731"/>
            <w:shd w:val="clear" w:color="auto" w:fill="F2F5F8"/>
          </w:tcPr>
          <w:p>
            <w:pPr>
              <w:spacing w:after="0"/>
              <w:jc w:val="left"/>
            </w:pPr>
            <w:r/>
            <w:r>
              <w:rPr>
                <w:rFonts w:ascii="Calibri" w:hAnsi="Calibri"/>
                <w:b w:val="0"/>
                <w:color w:val="1A1A1A"/>
                <w:sz w:val="24"/>
              </w:rPr>
              <w:t>Natureza</w:t>
            </w:r>
          </w:p>
        </w:tc>
        <w:tc>
          <w:tcPr>
            <w:tcW w:type="dxa" w:w="5341"/>
            <w:shd w:val="clear" w:color="auto" w:fill="F2F5F8"/>
          </w:tcPr>
          <w:p>
            <w:pPr>
              <w:spacing w:after="0"/>
              <w:jc w:val="left"/>
            </w:pPr>
            <w:r/>
            <w:r>
              <w:rPr>
                <w:rFonts w:ascii="Calibri" w:hAnsi="Calibri"/>
                <w:b w:val="0"/>
                <w:color w:val="1A1A1A"/>
                <w:sz w:val="24"/>
              </w:rPr>
              <w:t>Documento técnico-consultivo, sem caráter normativo ou disciplinar</w:t>
            </w:r>
          </w:p>
        </w:tc>
      </w:tr>
      <w:tr>
        <w:trPr>
          <w:cantSplit/>
        </w:trPr>
        <w:tc>
          <w:tcPr>
            <w:tcW w:type="dxa" w:w="3731"/>
          </w:tcPr>
          <w:p>
            <w:pPr>
              <w:spacing w:after="0"/>
              <w:jc w:val="left"/>
            </w:pPr>
            <w:r/>
            <w:r>
              <w:rPr>
                <w:rFonts w:ascii="Calibri" w:hAnsi="Calibri"/>
                <w:b w:val="0"/>
                <w:color w:val="1A1A1A"/>
                <w:sz w:val="24"/>
              </w:rPr>
              <w:t>Condição de publicação</w:t>
            </w:r>
          </w:p>
        </w:tc>
        <w:tc>
          <w:tcPr>
            <w:tcW w:type="dxa" w:w="5341"/>
          </w:tcPr>
          <w:p>
            <w:pPr>
              <w:spacing w:after="0"/>
              <w:jc w:val="left"/>
            </w:pPr>
            <w:r/>
            <w:r>
              <w:rPr>
                <w:rFonts w:ascii="Calibri" w:hAnsi="Calibri"/>
                <w:b w:val="0"/>
                <w:color w:val="1A1A1A"/>
                <w:sz w:val="24"/>
              </w:rPr>
              <w:t>Sujeito a validação pela Diretoria Executiva do CRO-MG</w:t>
            </w:r>
          </w:p>
        </w:tc>
      </w:tr>
    </w:tbl>
    <w:p>
      <w:pPr>
        <w:spacing w:after="480"/>
      </w:pPr>
    </w:p>
    <w:p>
      <w:pPr>
        <w:spacing w:after="120"/>
        <w:jc w:val="center"/>
      </w:pPr>
      <w:r>
        <w:rPr>
          <w:rFonts w:ascii="Calibri" w:hAnsi="Calibri"/>
          <w:b w:val="0"/>
          <w:i/>
          <w:color w:val="444A52"/>
          <w:sz w:val="24"/>
        </w:rPr>
        <w:t>Documento de circulação interna do Núcleo 5. Não constitui norma, parecer vinculante ou orientação oficial do CRO-MG enquanto não houver deliberação do colegiado e validação da Diretoria Executiva.</w:t>
      </w:r>
    </w:p>
    <w:p>
      <w:r>
        <w:br w:type="page"/>
      </w:r>
    </w:p>
    <w:p>
      <w:pPr>
        <w:keepNext/>
        <w:spacing w:before="360" w:after="160"/>
        <w:jc w:val="left"/>
        <w:pBdr>
          <w:bottom w:val="single" w:sz="8" w:space="4" w:color="143C64"/>
        </w:pBdr>
      </w:pPr>
      <w:r>
        <w:rPr>
          <w:rFonts w:ascii="Calibri" w:hAnsi="Calibri"/>
          <w:b/>
          <w:color w:val="143C64"/>
          <w:sz w:val="30"/>
        </w:rPr>
        <w:t>1  Síntese executiva</w:t>
      </w:r>
    </w:p>
    <w:p>
      <w:pPr>
        <w:spacing w:after="120"/>
        <w:jc w:val="both"/>
      </w:pPr>
      <w:r>
        <w:rPr>
          <w:rFonts w:ascii="Calibri" w:hAnsi="Calibri"/>
          <w:b w:val="0"/>
          <w:i w:val="0"/>
          <w:color w:val="1A1A1A"/>
          <w:sz w:val="24"/>
        </w:rPr>
        <w:t>A proposta organiza os conteúdos produzidos pela Câmara Técnica em uma experiência pública, responsiva e governada, com acesso por endereço eletrônico e código de resposta rápida. A solução nasce como landing page institucional e evolui para hub digital, biblioteca de instrumentos, radar de tecnologias e canal de escuta profissional.</w:t>
      </w:r>
    </w:p>
    <w:tbl>
      <w:tblPr>
        <w:tblW w:type="auto" w:w="0"/>
        <w:jc w:val="center"/>
        <w:tblLook w:firstColumn="1" w:firstRow="1" w:lastColumn="0" w:lastRow="0" w:noHBand="0" w:noVBand="1" w:val="04A0"/>
        <w:tblCellMar>
          <w:top w:w="120" w:type="dxa"/>
          <w:left w:w="160" w:type="dxa"/>
          <w:bottom w:w="120" w:type="dxa"/>
          <w:right w:w="160" w:type="dxa"/>
        </w:tblCellMar>
        <w:tblBorders>
          <w:top w:val="single" w:sz="4" w:space="0" w:color="EAF0F6"/>
          <w:bottom w:val="single" w:sz="4" w:space="0" w:color="EAF0F6"/>
          <w:right w:val="single" w:sz="4" w:space="0" w:color="EAF0F6"/>
          <w:insideH w:val="single" w:sz="4" w:space="0" w:color="EAF0F6"/>
          <w:insideV w:val="single" w:sz="4" w:space="0" w:color="EAF0F6"/>
          <w:left w:val="single" w:sz="24" w:space="0" w:color="143C64"/>
        </w:tblBorders>
        <w:tblLayout w:type="fixed"/>
      </w:tblPr>
      <w:tblGrid>
        <w:gridCol w:w="9072"/>
      </w:tblGrid>
      <w:tr>
        <w:tc>
          <w:tcPr>
            <w:tcW w:type="dxa" w:w="9072"/>
            <w:shd w:val="clear" w:color="auto" w:fill="EAF0F6"/>
          </w:tcPr>
          <w:p>
            <w:pPr>
              <w:spacing w:after="60"/>
              <w:jc w:val="left"/>
            </w:pPr>
            <w:r/>
            <w:r>
              <w:rPr>
                <w:rFonts w:ascii="Calibri" w:hAnsi="Calibri"/>
                <w:b/>
                <w:color w:val="143C64"/>
                <w:sz w:val="24"/>
              </w:rPr>
              <w:t>Decisão de assinatura pública</w:t>
            </w:r>
          </w:p>
          <w:p>
            <w:pPr>
              <w:spacing w:after="0"/>
              <w:jc w:val="both"/>
            </w:pPr>
            <w:r>
              <w:rPr>
                <w:rFonts w:ascii="Calibri" w:hAnsi="Calibri"/>
                <w:color w:val="1A1A1A"/>
                <w:sz w:val="24"/>
              </w:rPr>
              <w:t>A comunicação pública não deve ter o Núcleo 5 como marca principal. Para quem está do outro lado da tela, o que confere autoridade é reconhecer o conteúdo como produção da Câmara Técnica de Harmonização Orofacial do CRO-MG. A organização interna por núcleos pertence à página de transparência institucional, com integrantes, frentes de trabalho e responsáveis por revisão. Esta decisão vale para todo o material de face pública do pacote, incluindo o plano de conteúdo do documento 15.</w:t>
            </w:r>
          </w:p>
        </w:tc>
      </w:tr>
    </w:tbl>
    <w:p>
      <w:pPr>
        <w:spacing w:after="80"/>
      </w:pPr>
    </w:p>
    <w:p>
      <w:pPr>
        <w:keepNext/>
        <w:spacing w:before="240" w:after="80"/>
        <w:jc w:val="left"/>
      </w:pPr>
      <w:r>
        <w:rPr>
          <w:rFonts w:ascii="Calibri" w:hAnsi="Calibri"/>
          <w:b/>
          <w:color w:val="143C64"/>
          <w:sz w:val="26"/>
        </w:rPr>
        <w:t>1.1  Legenda de sustentação</w:t>
      </w:r>
    </w:p>
    <w:p>
      <w:pPr>
        <w:spacing w:after="120"/>
        <w:jc w:val="both"/>
      </w:pPr>
      <w:r>
        <w:rPr>
          <w:rFonts w:ascii="Calibri" w:hAnsi="Calibri"/>
          <w:b w:val="0"/>
          <w:i w:val="0"/>
          <w:color w:val="1A1A1A"/>
          <w:sz w:val="24"/>
        </w:rPr>
        <w:t>Toda afirmação relevante deste documento está classificada em uma das quatro categorias abaixo. A classificação é obrigatória e existe para impedir que recomendação técnica seja lida como obrigação normativa, e que lacuna de dados seja lida como ausência de risco.</w:t>
      </w:r>
    </w:p>
    <w:tbl>
      <w:tblPr>
        <w:tblW w:type="auto" w:w="0"/>
        <w:jc w:val="center"/>
        <w:tblLook w:firstColumn="1" w:firstRow="1" w:lastColumn="0" w:lastRow="0" w:noHBand="0" w:noVBand="1" w:val="04A0"/>
        <w:tblBorders>
          <w:top w:val="single" w:sz="6" w:space="0" w:color="B9C2CC"/>
          <w:left w:val="single" w:sz="6" w:space="0" w:color="B9C2CC"/>
          <w:bottom w:val="single" w:sz="6" w:space="0" w:color="B9C2CC"/>
          <w:right w:val="single" w:sz="6" w:space="0" w:color="B9C2CC"/>
          <w:insideH w:val="single" w:sz="6" w:space="0" w:color="B9C2CC"/>
          <w:insideV w:val="single" w:sz="6" w:space="0" w:color="B9C2CC"/>
        </w:tblBorders>
        <w:tblCellMar>
          <w:top w:w="60" w:type="dxa"/>
          <w:left w:w="100" w:type="dxa"/>
          <w:bottom w:w="60" w:type="dxa"/>
          <w:right w:w="100" w:type="dxa"/>
        </w:tblCellMar>
        <w:tblLayout w:type="fixed"/>
      </w:tblPr>
      <w:tblGrid>
        <w:gridCol w:w="4228"/>
        <w:gridCol w:w="4844"/>
      </w:tblGrid>
      <w:tr>
        <w:trPr>
          <w:cantSplit/>
          <w:tblHeader/>
        </w:trPr>
        <w:tc>
          <w:tcPr>
            <w:tcW w:type="dxa" w:w="4228"/>
            <w:shd w:val="clear" w:color="auto" w:fill="143C64"/>
          </w:tcPr>
          <w:p>
            <w:pPr>
              <w:spacing w:after="0"/>
              <w:jc w:val="left"/>
            </w:pPr>
            <w:r/>
            <w:r>
              <w:rPr>
                <w:rFonts w:ascii="Calibri" w:hAnsi="Calibri"/>
                <w:b/>
                <w:color w:val="FFFFFF"/>
                <w:sz w:val="24"/>
              </w:rPr>
              <w:t>Categoria</w:t>
            </w:r>
          </w:p>
        </w:tc>
        <w:tc>
          <w:tcPr>
            <w:tcW w:type="dxa" w:w="4844"/>
            <w:shd w:val="clear" w:color="auto" w:fill="143C64"/>
          </w:tcPr>
          <w:p>
            <w:pPr>
              <w:spacing w:after="0"/>
              <w:jc w:val="left"/>
            </w:pPr>
            <w:r/>
            <w:r>
              <w:rPr>
                <w:rFonts w:ascii="Calibri" w:hAnsi="Calibri"/>
                <w:b/>
                <w:color w:val="FFFFFF"/>
                <w:sz w:val="24"/>
              </w:rPr>
              <w:t>Definição</w:t>
            </w:r>
          </w:p>
        </w:tc>
      </w:tr>
      <w:tr>
        <w:trPr>
          <w:cantSplit/>
        </w:trPr>
        <w:tc>
          <w:tcPr>
            <w:tcW w:type="dxa" w:w="4228"/>
          </w:tcPr>
          <w:p>
            <w:pPr>
              <w:spacing w:after="0"/>
              <w:jc w:val="left"/>
            </w:pPr>
            <w:r/>
            <w:r>
              <w:rPr>
                <w:rFonts w:ascii="Calibri" w:hAnsi="Calibri"/>
                <w:b/>
                <w:color w:val="1A1A1A"/>
                <w:sz w:val="24"/>
              </w:rPr>
              <w:t>EXIGÊNCIA NORMATIVA</w:t>
            </w:r>
          </w:p>
        </w:tc>
        <w:tc>
          <w:tcPr>
            <w:tcW w:type="dxa" w:w="4844"/>
          </w:tcPr>
          <w:p>
            <w:pPr>
              <w:spacing w:after="0"/>
              <w:jc w:val="left"/>
            </w:pPr>
            <w:r/>
            <w:r>
              <w:rPr>
                <w:rFonts w:ascii="Calibri" w:hAnsi="Calibri"/>
                <w:b w:val="0"/>
                <w:color w:val="1A1A1A"/>
                <w:sz w:val="24"/>
              </w:rPr>
              <w:t>Obrigação derivada de ato vigente, com fonte identificável e data de consulta registrada.</w:t>
            </w:r>
          </w:p>
        </w:tc>
      </w:tr>
      <w:tr>
        <w:trPr>
          <w:cantSplit/>
        </w:trPr>
        <w:tc>
          <w:tcPr>
            <w:tcW w:type="dxa" w:w="4228"/>
            <w:shd w:val="clear" w:color="auto" w:fill="F2F5F8"/>
          </w:tcPr>
          <w:p>
            <w:pPr>
              <w:spacing w:after="0"/>
              <w:jc w:val="left"/>
            </w:pPr>
            <w:r/>
            <w:r>
              <w:rPr>
                <w:rFonts w:ascii="Calibri" w:hAnsi="Calibri"/>
                <w:b/>
                <w:color w:val="1A1A1A"/>
                <w:sz w:val="24"/>
              </w:rPr>
              <w:t>EVIDÊNCIA CIENTÍFICA</w:t>
            </w:r>
          </w:p>
        </w:tc>
        <w:tc>
          <w:tcPr>
            <w:tcW w:type="dxa" w:w="4844"/>
            <w:shd w:val="clear" w:color="auto" w:fill="F2F5F8"/>
          </w:tcPr>
          <w:p>
            <w:pPr>
              <w:spacing w:after="0"/>
              <w:jc w:val="left"/>
            </w:pPr>
            <w:r/>
            <w:r>
              <w:rPr>
                <w:rFonts w:ascii="Calibri" w:hAnsi="Calibri"/>
                <w:b w:val="0"/>
                <w:color w:val="1A1A1A"/>
                <w:sz w:val="24"/>
              </w:rPr>
              <w:t>Conclusão compatível com estudo indexado, apresentada com o desenho do estudo e suas limitações.</w:t>
            </w:r>
          </w:p>
        </w:tc>
      </w:tr>
      <w:tr>
        <w:trPr>
          <w:cantSplit/>
        </w:trPr>
        <w:tc>
          <w:tcPr>
            <w:tcW w:type="dxa" w:w="4228"/>
          </w:tcPr>
          <w:p>
            <w:pPr>
              <w:spacing w:after="0"/>
              <w:jc w:val="left"/>
            </w:pPr>
            <w:r/>
            <w:r>
              <w:rPr>
                <w:rFonts w:ascii="Calibri" w:hAnsi="Calibri"/>
                <w:b/>
                <w:color w:val="1A1A1A"/>
                <w:sz w:val="24"/>
              </w:rPr>
              <w:t>RECOMENDAÇÃO TÉCNICA</w:t>
            </w:r>
          </w:p>
        </w:tc>
        <w:tc>
          <w:tcPr>
            <w:tcW w:type="dxa" w:w="4844"/>
          </w:tcPr>
          <w:p>
            <w:pPr>
              <w:spacing w:after="0"/>
              <w:jc w:val="left"/>
            </w:pPr>
            <w:r/>
            <w:r>
              <w:rPr>
                <w:rFonts w:ascii="Calibri" w:hAnsi="Calibri"/>
                <w:b w:val="0"/>
                <w:color w:val="1A1A1A"/>
                <w:sz w:val="24"/>
              </w:rPr>
              <w:t>Orientação prudencial derivada de risco, boa prática e coerência com as fontes, sem força normativa.</w:t>
            </w:r>
          </w:p>
        </w:tc>
      </w:tr>
      <w:tr>
        <w:trPr>
          <w:cantSplit/>
        </w:trPr>
        <w:tc>
          <w:tcPr>
            <w:tcW w:type="dxa" w:w="4228"/>
            <w:shd w:val="clear" w:color="auto" w:fill="F2F5F8"/>
          </w:tcPr>
          <w:p>
            <w:pPr>
              <w:spacing w:after="0"/>
              <w:jc w:val="left"/>
            </w:pPr>
            <w:r/>
            <w:r>
              <w:rPr>
                <w:rFonts w:ascii="Calibri" w:hAnsi="Calibri"/>
                <w:b/>
                <w:color w:val="1A1A1A"/>
                <w:sz w:val="24"/>
              </w:rPr>
              <w:t>PENDÊNCIA INSTITUCIONAL</w:t>
            </w:r>
          </w:p>
        </w:tc>
        <w:tc>
          <w:tcPr>
            <w:tcW w:type="dxa" w:w="4844"/>
            <w:shd w:val="clear" w:color="auto" w:fill="F2F5F8"/>
          </w:tcPr>
          <w:p>
            <w:pPr>
              <w:spacing w:after="0"/>
              <w:jc w:val="left"/>
            </w:pPr>
            <w:r/>
            <w:r>
              <w:rPr>
                <w:rFonts w:ascii="Calibri" w:hAnsi="Calibri"/>
                <w:b w:val="0"/>
                <w:color w:val="1A1A1A"/>
                <w:sz w:val="24"/>
              </w:rPr>
              <w:t>Ponto que depende de deliberação do colegiado, de resposta de órgão, de dados primários ou de validação superior.</w:t>
            </w:r>
          </w:p>
        </w:tc>
      </w:tr>
    </w:tbl>
    <w:p>
      <w:pPr>
        <w:keepNext/>
        <w:spacing w:before="360" w:after="160"/>
        <w:jc w:val="left"/>
        <w:pBdr>
          <w:bottom w:val="single" w:sz="8" w:space="4" w:color="143C64"/>
        </w:pBdr>
      </w:pPr>
      <w:r>
        <w:rPr>
          <w:rFonts w:ascii="Calibri" w:hAnsi="Calibri"/>
          <w:b/>
          <w:color w:val="143C64"/>
          <w:sz w:val="30"/>
        </w:rPr>
        <w:t>2  Nome público e posicionamento</w:t>
      </w:r>
    </w:p>
    <w:tbl>
      <w:tblPr>
        <w:tblW w:type="auto" w:w="0"/>
        <w:jc w:val="center"/>
        <w:tblLook w:firstColumn="1" w:firstRow="1" w:lastColumn="0" w:lastRow="0" w:noHBand="0" w:noVBand="1" w:val="04A0"/>
        <w:tblBorders>
          <w:top w:val="single" w:sz="6" w:space="0" w:color="B9C2CC"/>
          <w:left w:val="single" w:sz="6" w:space="0" w:color="B9C2CC"/>
          <w:bottom w:val="single" w:sz="6" w:space="0" w:color="B9C2CC"/>
          <w:right w:val="single" w:sz="6" w:space="0" w:color="B9C2CC"/>
          <w:insideH w:val="single" w:sz="6" w:space="0" w:color="B9C2CC"/>
          <w:insideV w:val="single" w:sz="6" w:space="0" w:color="B9C2CC"/>
        </w:tblBorders>
        <w:tblCellMar>
          <w:top w:w="60" w:type="dxa"/>
          <w:left w:w="100" w:type="dxa"/>
          <w:bottom w:w="60" w:type="dxa"/>
          <w:right w:w="100" w:type="dxa"/>
        </w:tblCellMar>
        <w:tblLayout w:type="fixed"/>
      </w:tblPr>
      <w:tblGrid>
        <w:gridCol w:w="3372"/>
        <w:gridCol w:w="5700"/>
      </w:tblGrid>
      <w:tr>
        <w:trPr>
          <w:cantSplit/>
          <w:tblHeader/>
        </w:trPr>
        <w:tc>
          <w:tcPr>
            <w:tcW w:type="dxa" w:w="3372"/>
            <w:shd w:val="clear" w:color="auto" w:fill="143C64"/>
          </w:tcPr>
          <w:p>
            <w:pPr>
              <w:spacing w:after="0"/>
              <w:jc w:val="left"/>
            </w:pPr>
            <w:r/>
            <w:r>
              <w:rPr>
                <w:rFonts w:ascii="Calibri" w:hAnsi="Calibri"/>
                <w:b/>
                <w:color w:val="FFFFFF"/>
                <w:sz w:val="24"/>
              </w:rPr>
              <w:t>Elemento</w:t>
            </w:r>
          </w:p>
        </w:tc>
        <w:tc>
          <w:tcPr>
            <w:tcW w:type="dxa" w:w="5700"/>
            <w:shd w:val="clear" w:color="auto" w:fill="143C64"/>
          </w:tcPr>
          <w:p>
            <w:pPr>
              <w:spacing w:after="0"/>
              <w:jc w:val="left"/>
            </w:pPr>
            <w:r/>
            <w:r>
              <w:rPr>
                <w:rFonts w:ascii="Calibri" w:hAnsi="Calibri"/>
                <w:b/>
                <w:color w:val="FFFFFF"/>
                <w:sz w:val="24"/>
              </w:rPr>
              <w:t>Formulação recomendada</w:t>
            </w:r>
          </w:p>
        </w:tc>
      </w:tr>
      <w:tr>
        <w:trPr>
          <w:cantSplit/>
        </w:trPr>
        <w:tc>
          <w:tcPr>
            <w:tcW w:type="dxa" w:w="3372"/>
          </w:tcPr>
          <w:p>
            <w:pPr>
              <w:spacing w:after="0"/>
              <w:jc w:val="left"/>
            </w:pPr>
            <w:r/>
            <w:r>
              <w:rPr>
                <w:rFonts w:ascii="Calibri" w:hAnsi="Calibri"/>
                <w:b/>
                <w:color w:val="1A1A1A"/>
                <w:sz w:val="24"/>
              </w:rPr>
              <w:t>Nome público</w:t>
            </w:r>
          </w:p>
        </w:tc>
        <w:tc>
          <w:tcPr>
            <w:tcW w:type="dxa" w:w="5700"/>
          </w:tcPr>
          <w:p>
            <w:pPr>
              <w:spacing w:after="0"/>
              <w:jc w:val="left"/>
            </w:pPr>
            <w:r/>
            <w:r>
              <w:rPr>
                <w:rFonts w:ascii="Calibri" w:hAnsi="Calibri"/>
                <w:b w:val="0"/>
                <w:color w:val="1A1A1A"/>
                <w:sz w:val="24"/>
              </w:rPr>
              <w:t>HOF Segura Digital</w:t>
            </w:r>
          </w:p>
        </w:tc>
      </w:tr>
      <w:tr>
        <w:trPr>
          <w:cantSplit/>
        </w:trPr>
        <w:tc>
          <w:tcPr>
            <w:tcW w:type="dxa" w:w="3372"/>
            <w:shd w:val="clear" w:color="auto" w:fill="F2F5F8"/>
          </w:tcPr>
          <w:p>
            <w:pPr>
              <w:spacing w:after="0"/>
              <w:jc w:val="left"/>
            </w:pPr>
            <w:r/>
            <w:r>
              <w:rPr>
                <w:rFonts w:ascii="Calibri" w:hAnsi="Calibri"/>
                <w:b/>
                <w:color w:val="1A1A1A"/>
                <w:sz w:val="24"/>
              </w:rPr>
              <w:t>Assinatura</w:t>
            </w:r>
          </w:p>
        </w:tc>
        <w:tc>
          <w:tcPr>
            <w:tcW w:type="dxa" w:w="5700"/>
            <w:shd w:val="clear" w:color="auto" w:fill="F2F5F8"/>
          </w:tcPr>
          <w:p>
            <w:pPr>
              <w:spacing w:after="0"/>
              <w:jc w:val="left"/>
            </w:pPr>
            <w:r/>
            <w:r>
              <w:rPr>
                <w:rFonts w:ascii="Calibri" w:hAnsi="Calibri"/>
                <w:b w:val="0"/>
                <w:color w:val="1A1A1A"/>
                <w:sz w:val="24"/>
              </w:rPr>
              <w:t>Uma iniciativa da Câmara Técnica de Harmonização Orofacial do CRO-MG</w:t>
            </w:r>
          </w:p>
        </w:tc>
      </w:tr>
      <w:tr>
        <w:trPr>
          <w:cantSplit/>
        </w:trPr>
        <w:tc>
          <w:tcPr>
            <w:tcW w:type="dxa" w:w="3372"/>
          </w:tcPr>
          <w:p>
            <w:pPr>
              <w:spacing w:after="0"/>
              <w:jc w:val="left"/>
            </w:pPr>
            <w:r/>
            <w:r>
              <w:rPr>
                <w:rFonts w:ascii="Calibri" w:hAnsi="Calibri"/>
                <w:b/>
                <w:color w:val="1A1A1A"/>
                <w:sz w:val="24"/>
              </w:rPr>
              <w:t>Promessa</w:t>
            </w:r>
          </w:p>
        </w:tc>
        <w:tc>
          <w:tcPr>
            <w:tcW w:type="dxa" w:w="5700"/>
          </w:tcPr>
          <w:p>
            <w:pPr>
              <w:spacing w:after="0"/>
              <w:jc w:val="left"/>
            </w:pPr>
            <w:r/>
            <w:r>
              <w:rPr>
                <w:rFonts w:ascii="Calibri" w:hAnsi="Calibri"/>
                <w:b w:val="0"/>
                <w:color w:val="1A1A1A"/>
                <w:sz w:val="24"/>
              </w:rPr>
              <w:t>Informação técnica, segurança clínica e inovação responsável para apoiar decisões mais confiáveis em Harmonização Orofacial.</w:t>
            </w:r>
          </w:p>
        </w:tc>
      </w:tr>
      <w:tr>
        <w:trPr>
          <w:cantSplit/>
        </w:trPr>
        <w:tc>
          <w:tcPr>
            <w:tcW w:type="dxa" w:w="3372"/>
            <w:shd w:val="clear" w:color="auto" w:fill="F2F5F8"/>
          </w:tcPr>
          <w:p>
            <w:pPr>
              <w:spacing w:after="0"/>
              <w:jc w:val="left"/>
            </w:pPr>
            <w:r/>
            <w:r>
              <w:rPr>
                <w:rFonts w:ascii="Calibri" w:hAnsi="Calibri"/>
                <w:b/>
                <w:color w:val="1A1A1A"/>
                <w:sz w:val="24"/>
              </w:rPr>
              <w:t>Tom</w:t>
            </w:r>
          </w:p>
        </w:tc>
        <w:tc>
          <w:tcPr>
            <w:tcW w:type="dxa" w:w="5700"/>
            <w:shd w:val="clear" w:color="auto" w:fill="F2F5F8"/>
          </w:tcPr>
          <w:p>
            <w:pPr>
              <w:spacing w:after="0"/>
              <w:jc w:val="left"/>
            </w:pPr>
            <w:r/>
            <w:r>
              <w:rPr>
                <w:rFonts w:ascii="Calibri" w:hAnsi="Calibri"/>
                <w:b w:val="0"/>
                <w:color w:val="1A1A1A"/>
                <w:sz w:val="24"/>
              </w:rPr>
              <w:t>Institucional, claro, educativo, não promocional e não prescritivo.</w:t>
            </w:r>
          </w:p>
        </w:tc>
      </w:tr>
      <w:tr>
        <w:trPr>
          <w:cantSplit/>
        </w:trPr>
        <w:tc>
          <w:tcPr>
            <w:tcW w:type="dxa" w:w="3372"/>
          </w:tcPr>
          <w:p>
            <w:pPr>
              <w:spacing w:after="0"/>
              <w:jc w:val="left"/>
            </w:pPr>
            <w:r/>
            <w:r>
              <w:rPr>
                <w:rFonts w:ascii="Calibri" w:hAnsi="Calibri"/>
                <w:b/>
                <w:color w:val="1A1A1A"/>
                <w:sz w:val="24"/>
              </w:rPr>
              <w:t>Evitar</w:t>
            </w:r>
          </w:p>
        </w:tc>
        <w:tc>
          <w:tcPr>
            <w:tcW w:type="dxa" w:w="5700"/>
          </w:tcPr>
          <w:p>
            <w:pPr>
              <w:spacing w:after="0"/>
              <w:jc w:val="left"/>
            </w:pPr>
            <w:r/>
            <w:r>
              <w:rPr>
                <w:rFonts w:ascii="Calibri" w:hAnsi="Calibri"/>
                <w:b w:val="0"/>
                <w:color w:val="1A1A1A"/>
                <w:sz w:val="24"/>
              </w:rPr>
              <w:t>Assistente clínico aberto, recomendação individualizada, comparação entre marcas, antes e depois, e linguagem de obrigação sem base normativa.</w:t>
            </w:r>
          </w:p>
        </w:tc>
      </w:tr>
    </w:tbl>
    <w:p>
      <w:pPr>
        <w:keepNext/>
        <w:spacing w:before="360" w:after="160"/>
        <w:jc w:val="left"/>
        <w:pBdr>
          <w:bottom w:val="single" w:sz="8" w:space="4" w:color="143C64"/>
        </w:pBdr>
      </w:pPr>
      <w:r>
        <w:rPr>
          <w:rFonts w:ascii="Calibri" w:hAnsi="Calibri"/>
          <w:b/>
          <w:color w:val="143C64"/>
          <w:sz w:val="30"/>
        </w:rPr>
        <w:t>3  Arquitetura da plataforma</w:t>
      </w:r>
    </w:p>
    <w:tbl>
      <w:tblPr>
        <w:tblW w:type="auto" w:w="0"/>
        <w:jc w:val="center"/>
        <w:tblLook w:firstColumn="1" w:firstRow="1" w:lastColumn="0" w:lastRow="0" w:noHBand="0" w:noVBand="1" w:val="04A0"/>
        <w:tblBorders>
          <w:top w:val="single" w:sz="6" w:space="0" w:color="B9C2CC"/>
          <w:left w:val="single" w:sz="6" w:space="0" w:color="B9C2CC"/>
          <w:bottom w:val="single" w:sz="6" w:space="0" w:color="B9C2CC"/>
          <w:right w:val="single" w:sz="6" w:space="0" w:color="B9C2CC"/>
          <w:insideH w:val="single" w:sz="6" w:space="0" w:color="B9C2CC"/>
          <w:insideV w:val="single" w:sz="6" w:space="0" w:color="B9C2CC"/>
        </w:tblBorders>
        <w:tblCellMar>
          <w:top w:w="60" w:type="dxa"/>
          <w:left w:w="100" w:type="dxa"/>
          <w:bottom w:w="60" w:type="dxa"/>
          <w:right w:w="100" w:type="dxa"/>
        </w:tblCellMar>
        <w:tblLayout w:type="fixed"/>
      </w:tblPr>
      <w:tblGrid>
        <w:gridCol w:w="2444"/>
        <w:gridCol w:w="3388"/>
        <w:gridCol w:w="3240"/>
      </w:tblGrid>
      <w:tr>
        <w:trPr>
          <w:cantSplit/>
          <w:tblHeader/>
        </w:trPr>
        <w:tc>
          <w:tcPr>
            <w:tcW w:type="dxa" w:w="2444"/>
            <w:shd w:val="clear" w:color="auto" w:fill="143C64"/>
          </w:tcPr>
          <w:p>
            <w:pPr>
              <w:spacing w:after="0"/>
              <w:jc w:val="left"/>
            </w:pPr>
            <w:r/>
            <w:r>
              <w:rPr>
                <w:rFonts w:ascii="Calibri" w:hAnsi="Calibri"/>
                <w:b/>
                <w:color w:val="FFFFFF"/>
                <w:sz w:val="24"/>
              </w:rPr>
              <w:t>Módulo</w:t>
            </w:r>
          </w:p>
        </w:tc>
        <w:tc>
          <w:tcPr>
            <w:tcW w:type="dxa" w:w="3388"/>
            <w:shd w:val="clear" w:color="auto" w:fill="143C64"/>
          </w:tcPr>
          <w:p>
            <w:pPr>
              <w:spacing w:after="0"/>
              <w:jc w:val="left"/>
            </w:pPr>
            <w:r/>
            <w:r>
              <w:rPr>
                <w:rFonts w:ascii="Calibri" w:hAnsi="Calibri"/>
                <w:b/>
                <w:color w:val="FFFFFF"/>
                <w:sz w:val="24"/>
              </w:rPr>
              <w:t>Função</w:t>
            </w:r>
          </w:p>
        </w:tc>
        <w:tc>
          <w:tcPr>
            <w:tcW w:type="dxa" w:w="3240"/>
            <w:shd w:val="clear" w:color="auto" w:fill="143C64"/>
          </w:tcPr>
          <w:p>
            <w:pPr>
              <w:spacing w:after="0"/>
              <w:jc w:val="left"/>
            </w:pPr>
            <w:r/>
            <w:r>
              <w:rPr>
                <w:rFonts w:ascii="Calibri" w:hAnsi="Calibri"/>
                <w:b/>
                <w:color w:val="FFFFFF"/>
                <w:sz w:val="24"/>
              </w:rPr>
              <w:t>Conteúdo inicial</w:t>
            </w:r>
          </w:p>
        </w:tc>
      </w:tr>
      <w:tr>
        <w:trPr>
          <w:cantSplit/>
        </w:trPr>
        <w:tc>
          <w:tcPr>
            <w:tcW w:type="dxa" w:w="2444"/>
          </w:tcPr>
          <w:p>
            <w:pPr>
              <w:spacing w:after="0"/>
              <w:jc w:val="left"/>
            </w:pPr>
            <w:r/>
            <w:r>
              <w:rPr>
                <w:rFonts w:ascii="Calibri" w:hAnsi="Calibri"/>
                <w:b/>
                <w:color w:val="1A1A1A"/>
                <w:sz w:val="24"/>
              </w:rPr>
              <w:t>Início</w:t>
            </w:r>
          </w:p>
        </w:tc>
        <w:tc>
          <w:tcPr>
            <w:tcW w:type="dxa" w:w="3388"/>
          </w:tcPr>
          <w:p>
            <w:pPr>
              <w:spacing w:after="0"/>
              <w:jc w:val="left"/>
            </w:pPr>
            <w:r/>
            <w:r>
              <w:rPr>
                <w:rFonts w:ascii="Calibri" w:hAnsi="Calibri"/>
                <w:b w:val="0"/>
                <w:color w:val="1A1A1A"/>
                <w:sz w:val="24"/>
              </w:rPr>
              <w:t>Explicar o programa em linguagem pública.</w:t>
            </w:r>
          </w:p>
        </w:tc>
        <w:tc>
          <w:tcPr>
            <w:tcW w:type="dxa" w:w="3240"/>
          </w:tcPr>
          <w:p>
            <w:pPr>
              <w:spacing w:after="0"/>
              <w:jc w:val="left"/>
            </w:pPr>
            <w:r/>
            <w:r>
              <w:rPr>
                <w:rFonts w:ascii="Calibri" w:hAnsi="Calibri"/>
                <w:b w:val="0"/>
                <w:color w:val="1A1A1A"/>
                <w:sz w:val="24"/>
              </w:rPr>
              <w:t>Tese, eixos, compromisso com segurança, acesso à biblioteca e código de resposta rápida.</w:t>
            </w:r>
          </w:p>
        </w:tc>
      </w:tr>
      <w:tr>
        <w:trPr>
          <w:cantSplit/>
        </w:trPr>
        <w:tc>
          <w:tcPr>
            <w:tcW w:type="dxa" w:w="2444"/>
            <w:shd w:val="clear" w:color="auto" w:fill="F2F5F8"/>
          </w:tcPr>
          <w:p>
            <w:pPr>
              <w:spacing w:after="0"/>
              <w:jc w:val="left"/>
            </w:pPr>
            <w:r/>
            <w:r>
              <w:rPr>
                <w:rFonts w:ascii="Calibri" w:hAnsi="Calibri"/>
                <w:b/>
                <w:color w:val="1A1A1A"/>
                <w:sz w:val="24"/>
              </w:rPr>
              <w:t>Segurança Clínica</w:t>
            </w:r>
          </w:p>
        </w:tc>
        <w:tc>
          <w:tcPr>
            <w:tcW w:type="dxa" w:w="3388"/>
            <w:shd w:val="clear" w:color="auto" w:fill="F2F5F8"/>
          </w:tcPr>
          <w:p>
            <w:pPr>
              <w:spacing w:after="0"/>
              <w:jc w:val="left"/>
            </w:pPr>
            <w:r/>
            <w:r>
              <w:rPr>
                <w:rFonts w:ascii="Calibri" w:hAnsi="Calibri"/>
                <w:b w:val="0"/>
                <w:color w:val="1A1A1A"/>
                <w:sz w:val="24"/>
              </w:rPr>
              <w:t>Disponibilizar instrumentos práticos.</w:t>
            </w:r>
          </w:p>
        </w:tc>
        <w:tc>
          <w:tcPr>
            <w:tcW w:type="dxa" w:w="3240"/>
            <w:shd w:val="clear" w:color="auto" w:fill="F2F5F8"/>
          </w:tcPr>
          <w:p>
            <w:pPr>
              <w:spacing w:after="0"/>
              <w:jc w:val="left"/>
            </w:pPr>
            <w:r/>
            <w:r>
              <w:rPr>
                <w:rFonts w:ascii="Calibri" w:hAnsi="Calibri"/>
                <w:b w:val="0"/>
                <w:color w:val="1A1A1A"/>
                <w:sz w:val="24"/>
              </w:rPr>
              <w:t>Checklist, fluxograma, sinais de alerta e materiais de orientação ao paciente.</w:t>
            </w:r>
          </w:p>
        </w:tc>
      </w:tr>
      <w:tr>
        <w:trPr>
          <w:cantSplit/>
        </w:trPr>
        <w:tc>
          <w:tcPr>
            <w:tcW w:type="dxa" w:w="2444"/>
          </w:tcPr>
          <w:p>
            <w:pPr>
              <w:spacing w:after="0"/>
              <w:jc w:val="left"/>
            </w:pPr>
            <w:r/>
            <w:r>
              <w:rPr>
                <w:rFonts w:ascii="Calibri" w:hAnsi="Calibri"/>
                <w:b/>
                <w:color w:val="1A1A1A"/>
                <w:sz w:val="24"/>
              </w:rPr>
              <w:t>POPs e Boas Práticas</w:t>
            </w:r>
          </w:p>
        </w:tc>
        <w:tc>
          <w:tcPr>
            <w:tcW w:type="dxa" w:w="3388"/>
          </w:tcPr>
          <w:p>
            <w:pPr>
              <w:spacing w:after="0"/>
              <w:jc w:val="left"/>
            </w:pPr>
            <w:r/>
            <w:r>
              <w:rPr>
                <w:rFonts w:ascii="Calibri" w:hAnsi="Calibri"/>
                <w:b w:val="0"/>
                <w:color w:val="1A1A1A"/>
                <w:sz w:val="24"/>
              </w:rPr>
              <w:t>Organizar instrumentos por tema.</w:t>
            </w:r>
          </w:p>
        </w:tc>
        <w:tc>
          <w:tcPr>
            <w:tcW w:type="dxa" w:w="3240"/>
          </w:tcPr>
          <w:p>
            <w:pPr>
              <w:spacing w:after="0"/>
              <w:jc w:val="left"/>
            </w:pPr>
            <w:r/>
            <w:r>
              <w:rPr>
                <w:rFonts w:ascii="Calibri" w:hAnsi="Calibri"/>
                <w:b w:val="0"/>
                <w:color w:val="1A1A1A"/>
                <w:sz w:val="24"/>
              </w:rPr>
              <w:t>Modelo mestre, POPs transversais, cartões de consulta rápida e critérios de atualização.</w:t>
            </w:r>
          </w:p>
        </w:tc>
      </w:tr>
      <w:tr>
        <w:trPr>
          <w:cantSplit/>
        </w:trPr>
        <w:tc>
          <w:tcPr>
            <w:tcW w:type="dxa" w:w="2444"/>
            <w:shd w:val="clear" w:color="auto" w:fill="F2F5F8"/>
          </w:tcPr>
          <w:p>
            <w:pPr>
              <w:spacing w:after="0"/>
              <w:jc w:val="left"/>
            </w:pPr>
            <w:r/>
            <w:r>
              <w:rPr>
                <w:rFonts w:ascii="Calibri" w:hAnsi="Calibri"/>
                <w:b/>
                <w:color w:val="1A1A1A"/>
                <w:sz w:val="24"/>
              </w:rPr>
              <w:t>Tecnologias</w:t>
            </w:r>
          </w:p>
        </w:tc>
        <w:tc>
          <w:tcPr>
            <w:tcW w:type="dxa" w:w="3388"/>
            <w:shd w:val="clear" w:color="auto" w:fill="F2F5F8"/>
          </w:tcPr>
          <w:p>
            <w:pPr>
              <w:spacing w:after="0"/>
              <w:jc w:val="left"/>
            </w:pPr>
            <w:r/>
            <w:r>
              <w:rPr>
                <w:rFonts w:ascii="Calibri" w:hAnsi="Calibri"/>
                <w:b w:val="0"/>
                <w:color w:val="1A1A1A"/>
                <w:sz w:val="24"/>
              </w:rPr>
              <w:t>Apoiar incorporação responsável.</w:t>
            </w:r>
          </w:p>
        </w:tc>
        <w:tc>
          <w:tcPr>
            <w:tcW w:type="dxa" w:w="3240"/>
            <w:shd w:val="clear" w:color="auto" w:fill="F2F5F8"/>
          </w:tcPr>
          <w:p>
            <w:pPr>
              <w:spacing w:after="0"/>
              <w:jc w:val="left"/>
            </w:pPr>
            <w:r/>
            <w:r>
              <w:rPr>
                <w:rFonts w:ascii="Calibri" w:hAnsi="Calibri"/>
                <w:b w:val="0"/>
                <w:color w:val="1A1A1A"/>
                <w:sz w:val="24"/>
              </w:rPr>
              <w:t>Roteiro de consulta, manutenção, regularização, rastreabilidade e matriz de avaliação.</w:t>
            </w:r>
          </w:p>
        </w:tc>
      </w:tr>
      <w:tr>
        <w:trPr>
          <w:cantSplit/>
        </w:trPr>
        <w:tc>
          <w:tcPr>
            <w:tcW w:type="dxa" w:w="2444"/>
          </w:tcPr>
          <w:p>
            <w:pPr>
              <w:spacing w:after="0"/>
              <w:jc w:val="left"/>
            </w:pPr>
            <w:r/>
            <w:r>
              <w:rPr>
                <w:rFonts w:ascii="Calibri" w:hAnsi="Calibri"/>
                <w:b/>
                <w:color w:val="1A1A1A"/>
                <w:sz w:val="24"/>
              </w:rPr>
              <w:t>Radar de Inovação</w:t>
            </w:r>
          </w:p>
        </w:tc>
        <w:tc>
          <w:tcPr>
            <w:tcW w:type="dxa" w:w="3388"/>
          </w:tcPr>
          <w:p>
            <w:pPr>
              <w:spacing w:after="0"/>
              <w:jc w:val="left"/>
            </w:pPr>
            <w:r/>
            <w:r>
              <w:rPr>
                <w:rFonts w:ascii="Calibri" w:hAnsi="Calibri"/>
                <w:b w:val="0"/>
                <w:color w:val="1A1A1A"/>
                <w:sz w:val="24"/>
              </w:rPr>
              <w:t>Classificar temas emergentes com prudência.</w:t>
            </w:r>
          </w:p>
        </w:tc>
        <w:tc>
          <w:tcPr>
            <w:tcW w:type="dxa" w:w="3240"/>
          </w:tcPr>
          <w:p>
            <w:pPr>
              <w:spacing w:after="0"/>
              <w:jc w:val="left"/>
            </w:pPr>
            <w:r/>
            <w:r>
              <w:rPr>
                <w:rFonts w:ascii="Calibri" w:hAnsi="Calibri"/>
                <w:b w:val="0"/>
                <w:color w:val="1A1A1A"/>
                <w:sz w:val="24"/>
              </w:rPr>
              <w:t>Fichas por tecnologia: consolidado, em avaliação, emergente ou aguardando definição institucional.</w:t>
            </w:r>
          </w:p>
        </w:tc>
      </w:tr>
      <w:tr>
        <w:trPr>
          <w:cantSplit/>
        </w:trPr>
        <w:tc>
          <w:tcPr>
            <w:tcW w:type="dxa" w:w="2444"/>
            <w:shd w:val="clear" w:color="auto" w:fill="F2F5F8"/>
          </w:tcPr>
          <w:p>
            <w:pPr>
              <w:spacing w:after="0"/>
              <w:jc w:val="left"/>
            </w:pPr>
            <w:r/>
            <w:r>
              <w:rPr>
                <w:rFonts w:ascii="Calibri" w:hAnsi="Calibri"/>
                <w:b/>
                <w:color w:val="1A1A1A"/>
                <w:sz w:val="24"/>
              </w:rPr>
              <w:t>Normas e Fontes Oficiais</w:t>
            </w:r>
          </w:p>
        </w:tc>
        <w:tc>
          <w:tcPr>
            <w:tcW w:type="dxa" w:w="3388"/>
            <w:shd w:val="clear" w:color="auto" w:fill="F2F5F8"/>
          </w:tcPr>
          <w:p>
            <w:pPr>
              <w:spacing w:after="0"/>
              <w:jc w:val="left"/>
            </w:pPr>
            <w:r/>
            <w:r>
              <w:rPr>
                <w:rFonts w:ascii="Calibri" w:hAnsi="Calibri"/>
                <w:b w:val="0"/>
                <w:color w:val="1A1A1A"/>
                <w:sz w:val="24"/>
              </w:rPr>
              <w:t>Dar rastreabilidade.</w:t>
            </w:r>
          </w:p>
        </w:tc>
        <w:tc>
          <w:tcPr>
            <w:tcW w:type="dxa" w:w="3240"/>
            <w:shd w:val="clear" w:color="auto" w:fill="F2F5F8"/>
          </w:tcPr>
          <w:p>
            <w:pPr>
              <w:spacing w:after="0"/>
              <w:jc w:val="left"/>
            </w:pPr>
            <w:r/>
            <w:r>
              <w:rPr>
                <w:rFonts w:ascii="Calibri" w:hAnsi="Calibri"/>
                <w:b w:val="0"/>
                <w:color w:val="1A1A1A"/>
                <w:sz w:val="24"/>
              </w:rPr>
              <w:t>Anvisa, avaliação da conformidade, CFO, legislação federal e consultas institucionais, com data de conferência.</w:t>
            </w:r>
          </w:p>
        </w:tc>
      </w:tr>
      <w:tr>
        <w:trPr>
          <w:cantSplit/>
        </w:trPr>
        <w:tc>
          <w:tcPr>
            <w:tcW w:type="dxa" w:w="2444"/>
          </w:tcPr>
          <w:p>
            <w:pPr>
              <w:spacing w:after="0"/>
              <w:jc w:val="left"/>
            </w:pPr>
            <w:r/>
            <w:r>
              <w:rPr>
                <w:rFonts w:ascii="Calibri" w:hAnsi="Calibri"/>
                <w:b/>
                <w:color w:val="1A1A1A"/>
                <w:sz w:val="24"/>
              </w:rPr>
              <w:t>Biblioteca de Evidências</w:t>
            </w:r>
          </w:p>
        </w:tc>
        <w:tc>
          <w:tcPr>
            <w:tcW w:type="dxa" w:w="3388"/>
          </w:tcPr>
          <w:p>
            <w:pPr>
              <w:spacing w:after="0"/>
              <w:jc w:val="left"/>
            </w:pPr>
            <w:r/>
            <w:r>
              <w:rPr>
                <w:rFonts w:ascii="Calibri" w:hAnsi="Calibri"/>
                <w:b w:val="0"/>
                <w:color w:val="1A1A1A"/>
                <w:sz w:val="24"/>
              </w:rPr>
              <w:t>Evitar opinião sem lastro.</w:t>
            </w:r>
          </w:p>
        </w:tc>
        <w:tc>
          <w:tcPr>
            <w:tcW w:type="dxa" w:w="3240"/>
          </w:tcPr>
          <w:p>
            <w:pPr>
              <w:spacing w:after="0"/>
              <w:jc w:val="left"/>
            </w:pPr>
            <w:r/>
            <w:r>
              <w:rPr>
                <w:rFonts w:ascii="Calibri" w:hAnsi="Calibri"/>
                <w:b w:val="0"/>
                <w:color w:val="1A1A1A"/>
                <w:sz w:val="24"/>
              </w:rPr>
              <w:t>Referências verificadas, matriz de evidências e documentos técnicos aprovados.</w:t>
            </w:r>
          </w:p>
        </w:tc>
      </w:tr>
      <w:tr>
        <w:trPr>
          <w:cantSplit/>
        </w:trPr>
        <w:tc>
          <w:tcPr>
            <w:tcW w:type="dxa" w:w="2444"/>
            <w:shd w:val="clear" w:color="auto" w:fill="F2F5F8"/>
          </w:tcPr>
          <w:p>
            <w:pPr>
              <w:spacing w:after="0"/>
              <w:jc w:val="left"/>
            </w:pPr>
            <w:r/>
            <w:r>
              <w:rPr>
                <w:rFonts w:ascii="Calibri" w:hAnsi="Calibri"/>
                <w:b/>
                <w:color w:val="1A1A1A"/>
                <w:sz w:val="24"/>
              </w:rPr>
              <w:t>Câmara Técnica</w:t>
            </w:r>
          </w:p>
        </w:tc>
        <w:tc>
          <w:tcPr>
            <w:tcW w:type="dxa" w:w="3388"/>
            <w:shd w:val="clear" w:color="auto" w:fill="F2F5F8"/>
          </w:tcPr>
          <w:p>
            <w:pPr>
              <w:spacing w:after="0"/>
              <w:jc w:val="left"/>
            </w:pPr>
            <w:r/>
            <w:r>
              <w:rPr>
                <w:rFonts w:ascii="Calibri" w:hAnsi="Calibri"/>
                <w:b w:val="0"/>
                <w:color w:val="1A1A1A"/>
                <w:sz w:val="24"/>
              </w:rPr>
              <w:t>Dar transparência institucional.</w:t>
            </w:r>
          </w:p>
        </w:tc>
        <w:tc>
          <w:tcPr>
            <w:tcW w:type="dxa" w:w="3240"/>
            <w:shd w:val="clear" w:color="auto" w:fill="F2F5F8"/>
          </w:tcPr>
          <w:p>
            <w:pPr>
              <w:spacing w:after="0"/>
              <w:jc w:val="left"/>
            </w:pPr>
            <w:r/>
            <w:r>
              <w:rPr>
                <w:rFonts w:ascii="Calibri" w:hAnsi="Calibri"/>
                <w:b w:val="0"/>
                <w:color w:val="1A1A1A"/>
                <w:sz w:val="24"/>
              </w:rPr>
              <w:t>Integrantes, núcleos de trabalho, função e entregas.</w:t>
            </w:r>
          </w:p>
        </w:tc>
      </w:tr>
      <w:tr>
        <w:trPr>
          <w:cantSplit/>
        </w:trPr>
        <w:tc>
          <w:tcPr>
            <w:tcW w:type="dxa" w:w="2444"/>
          </w:tcPr>
          <w:p>
            <w:pPr>
              <w:spacing w:after="0"/>
              <w:jc w:val="left"/>
            </w:pPr>
            <w:r/>
            <w:r>
              <w:rPr>
                <w:rFonts w:ascii="Calibri" w:hAnsi="Calibri"/>
                <w:b/>
                <w:color w:val="1A1A1A"/>
                <w:sz w:val="24"/>
              </w:rPr>
              <w:t>Pergunte à Câmara</w:t>
            </w:r>
          </w:p>
        </w:tc>
        <w:tc>
          <w:tcPr>
            <w:tcW w:type="dxa" w:w="3388"/>
          </w:tcPr>
          <w:p>
            <w:pPr>
              <w:spacing w:after="0"/>
              <w:jc w:val="left"/>
            </w:pPr>
            <w:r/>
            <w:r>
              <w:rPr>
                <w:rFonts w:ascii="Calibri" w:hAnsi="Calibri"/>
                <w:b w:val="0"/>
                <w:color w:val="1A1A1A"/>
                <w:sz w:val="24"/>
              </w:rPr>
              <w:t>Criar escuta organizada.</w:t>
            </w:r>
          </w:p>
        </w:tc>
        <w:tc>
          <w:tcPr>
            <w:tcW w:type="dxa" w:w="3240"/>
          </w:tcPr>
          <w:p>
            <w:pPr>
              <w:spacing w:after="0"/>
              <w:jc w:val="left"/>
            </w:pPr>
            <w:r/>
            <w:r>
              <w:rPr>
                <w:rFonts w:ascii="Calibri" w:hAnsi="Calibri"/>
                <w:b w:val="0"/>
                <w:color w:val="1A1A1A"/>
                <w:sz w:val="24"/>
              </w:rPr>
              <w:t>Formulário para dúvidas, tecnologias a avaliar e temas de POP.</w:t>
            </w:r>
          </w:p>
        </w:tc>
      </w:tr>
    </w:tbl>
    <w:p>
      <w:r>
        <w:br w:type="page"/>
      </w:r>
    </w:p>
    <w:p>
      <w:pPr>
        <w:keepNext/>
        <w:spacing w:before="360" w:after="160"/>
        <w:jc w:val="left"/>
        <w:pBdr>
          <w:bottom w:val="single" w:sz="8" w:space="4" w:color="143C64"/>
        </w:pBdr>
      </w:pPr>
      <w:r>
        <w:rPr>
          <w:rFonts w:ascii="Calibri" w:hAnsi="Calibri"/>
          <w:b/>
          <w:color w:val="143C64"/>
          <w:sz w:val="30"/>
        </w:rPr>
        <w:t>4  Percursos de uso</w:t>
      </w:r>
    </w:p>
    <w:tbl>
      <w:tblPr>
        <w:tblW w:type="auto" w:w="0"/>
        <w:jc w:val="center"/>
        <w:tblLook w:firstColumn="1" w:firstRow="1" w:lastColumn="0" w:lastRow="0" w:noHBand="0" w:noVBand="1" w:val="04A0"/>
        <w:tblBorders>
          <w:top w:val="single" w:sz="6" w:space="0" w:color="B9C2CC"/>
          <w:left w:val="single" w:sz="6" w:space="0" w:color="B9C2CC"/>
          <w:bottom w:val="single" w:sz="6" w:space="0" w:color="B9C2CC"/>
          <w:right w:val="single" w:sz="6" w:space="0" w:color="B9C2CC"/>
          <w:insideH w:val="single" w:sz="6" w:space="0" w:color="B9C2CC"/>
          <w:insideV w:val="single" w:sz="6" w:space="0" w:color="B9C2CC"/>
        </w:tblBorders>
        <w:tblCellMar>
          <w:top w:w="60" w:type="dxa"/>
          <w:left w:w="100" w:type="dxa"/>
          <w:bottom w:w="60" w:type="dxa"/>
          <w:right w:w="100" w:type="dxa"/>
        </w:tblCellMar>
        <w:tblLayout w:type="fixed"/>
      </w:tblPr>
      <w:tblGrid>
        <w:gridCol w:w="4050"/>
        <w:gridCol w:w="5022"/>
      </w:tblGrid>
      <w:tr>
        <w:trPr>
          <w:cantSplit/>
          <w:tblHeader/>
        </w:trPr>
        <w:tc>
          <w:tcPr>
            <w:tcW w:type="dxa" w:w="4050"/>
            <w:shd w:val="clear" w:color="auto" w:fill="143C64"/>
          </w:tcPr>
          <w:p>
            <w:pPr>
              <w:spacing w:after="0"/>
              <w:jc w:val="left"/>
            </w:pPr>
            <w:r/>
            <w:r>
              <w:rPr>
                <w:rFonts w:ascii="Calibri" w:hAnsi="Calibri"/>
                <w:b/>
                <w:color w:val="FFFFFF"/>
                <w:sz w:val="24"/>
              </w:rPr>
              <w:t>Perfil</w:t>
            </w:r>
          </w:p>
        </w:tc>
        <w:tc>
          <w:tcPr>
            <w:tcW w:type="dxa" w:w="5022"/>
            <w:shd w:val="clear" w:color="auto" w:fill="143C64"/>
          </w:tcPr>
          <w:p>
            <w:pPr>
              <w:spacing w:after="0"/>
              <w:jc w:val="left"/>
            </w:pPr>
            <w:r/>
            <w:r>
              <w:rPr>
                <w:rFonts w:ascii="Calibri" w:hAnsi="Calibri"/>
                <w:b/>
                <w:color w:val="FFFFFF"/>
                <w:sz w:val="24"/>
              </w:rPr>
              <w:t>Percurso e resultado esperado</w:t>
            </w:r>
          </w:p>
        </w:tc>
      </w:tr>
      <w:tr>
        <w:trPr>
          <w:cantSplit/>
        </w:trPr>
        <w:tc>
          <w:tcPr>
            <w:tcW w:type="dxa" w:w="4050"/>
          </w:tcPr>
          <w:p>
            <w:pPr>
              <w:spacing w:after="0"/>
              <w:jc w:val="left"/>
            </w:pPr>
            <w:r/>
            <w:r>
              <w:rPr>
                <w:rFonts w:ascii="Calibri" w:hAnsi="Calibri"/>
                <w:b/>
                <w:color w:val="1A1A1A"/>
                <w:sz w:val="24"/>
              </w:rPr>
              <w:t>Profissional que quer incorporar tecnologia</w:t>
            </w:r>
          </w:p>
        </w:tc>
        <w:tc>
          <w:tcPr>
            <w:tcW w:type="dxa" w:w="5022"/>
          </w:tcPr>
          <w:p>
            <w:pPr>
              <w:spacing w:after="0"/>
              <w:jc w:val="left"/>
            </w:pPr>
            <w:r/>
            <w:r>
              <w:rPr>
                <w:rFonts w:ascii="Calibri" w:hAnsi="Calibri"/>
                <w:b w:val="0"/>
                <w:color w:val="1A1A1A"/>
                <w:sz w:val="24"/>
              </w:rPr>
              <w:t>Entra pelo código de resposta rápida, acessa o módulo Tecnologias e responde às quatro perguntas de triagem: posso, faz sentido, consigo operar e consigo rastrear. Recebe a orientação de consultar dossiê, POP e fontes oficiais antes de adotar.</w:t>
            </w:r>
          </w:p>
        </w:tc>
      </w:tr>
      <w:tr>
        <w:trPr>
          <w:cantSplit/>
        </w:trPr>
        <w:tc>
          <w:tcPr>
            <w:tcW w:type="dxa" w:w="4050"/>
            <w:shd w:val="clear" w:color="auto" w:fill="F2F5F8"/>
          </w:tcPr>
          <w:p>
            <w:pPr>
              <w:spacing w:after="0"/>
              <w:jc w:val="left"/>
            </w:pPr>
            <w:r/>
            <w:r>
              <w:rPr>
                <w:rFonts w:ascii="Calibri" w:hAnsi="Calibri"/>
                <w:b/>
                <w:color w:val="1A1A1A"/>
                <w:sz w:val="24"/>
              </w:rPr>
              <w:t>Profissional diante de intercorrência</w:t>
            </w:r>
          </w:p>
        </w:tc>
        <w:tc>
          <w:tcPr>
            <w:tcW w:type="dxa" w:w="5022"/>
            <w:shd w:val="clear" w:color="auto" w:fill="F2F5F8"/>
          </w:tcPr>
          <w:p>
            <w:pPr>
              <w:spacing w:after="0"/>
              <w:jc w:val="left"/>
            </w:pPr>
            <w:r/>
            <w:r>
              <w:rPr>
                <w:rFonts w:ascii="Calibri" w:hAnsi="Calibri"/>
                <w:b w:val="0"/>
                <w:color w:val="1A1A1A"/>
                <w:sz w:val="24"/>
              </w:rPr>
              <w:t>Acessa Segurança Clínica e localiza reconhecimento precoce, documentação, escalonamento e encaminhamento. O hub não substitui julgamento clínico nem atendimento de urgência, e essa advertência deve estar visível no próprio módulo.</w:t>
            </w:r>
          </w:p>
        </w:tc>
      </w:tr>
      <w:tr>
        <w:trPr>
          <w:cantSplit/>
        </w:trPr>
        <w:tc>
          <w:tcPr>
            <w:tcW w:type="dxa" w:w="4050"/>
          </w:tcPr>
          <w:p>
            <w:pPr>
              <w:spacing w:after="0"/>
              <w:jc w:val="left"/>
            </w:pPr>
            <w:r/>
            <w:r>
              <w:rPr>
                <w:rFonts w:ascii="Calibri" w:hAnsi="Calibri"/>
                <w:b/>
                <w:color w:val="1A1A1A"/>
                <w:sz w:val="24"/>
              </w:rPr>
              <w:t>Gestor de clínica</w:t>
            </w:r>
          </w:p>
        </w:tc>
        <w:tc>
          <w:tcPr>
            <w:tcW w:type="dxa" w:w="5022"/>
          </w:tcPr>
          <w:p>
            <w:pPr>
              <w:spacing w:after="0"/>
              <w:jc w:val="left"/>
            </w:pPr>
            <w:r/>
            <w:r>
              <w:rPr>
                <w:rFonts w:ascii="Calibri" w:hAnsi="Calibri"/>
                <w:b w:val="0"/>
                <w:color w:val="1A1A1A"/>
                <w:sz w:val="24"/>
              </w:rPr>
              <w:t>Usa a biblioteca para montar inventário, plano de manutenção, rastreabilidade, política de imagem, consentimentos e treinamento da equipe.</w:t>
            </w:r>
          </w:p>
        </w:tc>
      </w:tr>
      <w:tr>
        <w:trPr>
          <w:cantSplit/>
        </w:trPr>
        <w:tc>
          <w:tcPr>
            <w:tcW w:type="dxa" w:w="4050"/>
            <w:shd w:val="clear" w:color="auto" w:fill="F2F5F8"/>
          </w:tcPr>
          <w:p>
            <w:pPr>
              <w:spacing w:after="0"/>
              <w:jc w:val="left"/>
            </w:pPr>
            <w:r/>
            <w:r>
              <w:rPr>
                <w:rFonts w:ascii="Calibri" w:hAnsi="Calibri"/>
                <w:b/>
                <w:color w:val="1A1A1A"/>
                <w:sz w:val="24"/>
              </w:rPr>
              <w:t>Paciente ou público interessado</w:t>
            </w:r>
          </w:p>
        </w:tc>
        <w:tc>
          <w:tcPr>
            <w:tcW w:type="dxa" w:w="5022"/>
            <w:shd w:val="clear" w:color="auto" w:fill="F2F5F8"/>
          </w:tcPr>
          <w:p>
            <w:pPr>
              <w:spacing w:after="0"/>
              <w:jc w:val="left"/>
            </w:pPr>
            <w:r/>
            <w:r>
              <w:rPr>
                <w:rFonts w:ascii="Calibri" w:hAnsi="Calibri"/>
                <w:b w:val="0"/>
                <w:color w:val="1A1A1A"/>
                <w:sz w:val="24"/>
              </w:rPr>
              <w:t>Encontra explicação acessível sobre o compromisso da Câmara Técnica com segurança, informação qualificada e direitos do paciente, com remissão à Lei nº 15.378/2026.</w:t>
            </w:r>
          </w:p>
        </w:tc>
      </w:tr>
    </w:tbl>
    <w:p>
      <w:pPr>
        <w:keepNext/>
        <w:spacing w:before="360" w:after="160"/>
        <w:jc w:val="left"/>
        <w:pBdr>
          <w:bottom w:val="single" w:sz="8" w:space="4" w:color="143C64"/>
        </w:pBdr>
      </w:pPr>
      <w:r>
        <w:rPr>
          <w:rFonts w:ascii="Calibri" w:hAnsi="Calibri"/>
          <w:b/>
          <w:color w:val="143C64"/>
          <w:sz w:val="30"/>
        </w:rPr>
        <w:t>5  Texto público sugerido para a página inicial</w:t>
      </w:r>
    </w:p>
    <w:tbl>
      <w:tblPr>
        <w:tblW w:type="auto" w:w="0"/>
        <w:jc w:val="center"/>
        <w:tblLook w:firstColumn="1" w:firstRow="1" w:lastColumn="0" w:lastRow="0" w:noHBand="0" w:noVBand="1" w:val="04A0"/>
        <w:tblBorders>
          <w:top w:val="single" w:sz="6" w:space="0" w:color="B9C2CC"/>
          <w:left w:val="single" w:sz="6" w:space="0" w:color="B9C2CC"/>
          <w:bottom w:val="single" w:sz="6" w:space="0" w:color="B9C2CC"/>
          <w:right w:val="single" w:sz="6" w:space="0" w:color="B9C2CC"/>
          <w:insideH w:val="single" w:sz="6" w:space="0" w:color="B9C2CC"/>
          <w:insideV w:val="single" w:sz="6" w:space="0" w:color="B9C2CC"/>
        </w:tblBorders>
        <w:tblCellMar>
          <w:top w:w="60" w:type="dxa"/>
          <w:left w:w="100" w:type="dxa"/>
          <w:bottom w:w="60" w:type="dxa"/>
          <w:right w:w="100" w:type="dxa"/>
        </w:tblCellMar>
        <w:tblLayout w:type="fixed"/>
      </w:tblPr>
      <w:tblGrid>
        <w:gridCol w:w="3476"/>
        <w:gridCol w:w="5596"/>
      </w:tblGrid>
      <w:tr>
        <w:trPr>
          <w:cantSplit/>
          <w:tblHeader/>
        </w:trPr>
        <w:tc>
          <w:tcPr>
            <w:tcW w:type="dxa" w:w="3476"/>
            <w:shd w:val="clear" w:color="auto" w:fill="143C64"/>
          </w:tcPr>
          <w:p>
            <w:pPr>
              <w:spacing w:after="0"/>
              <w:jc w:val="left"/>
            </w:pPr>
            <w:r/>
            <w:r>
              <w:rPr>
                <w:rFonts w:ascii="Calibri" w:hAnsi="Calibri"/>
                <w:b/>
                <w:color w:val="FFFFFF"/>
                <w:sz w:val="24"/>
              </w:rPr>
              <w:t>Elemento</w:t>
            </w:r>
          </w:p>
        </w:tc>
        <w:tc>
          <w:tcPr>
            <w:tcW w:type="dxa" w:w="5596"/>
            <w:shd w:val="clear" w:color="auto" w:fill="143C64"/>
          </w:tcPr>
          <w:p>
            <w:pPr>
              <w:spacing w:after="0"/>
              <w:jc w:val="left"/>
            </w:pPr>
            <w:r/>
            <w:r>
              <w:rPr>
                <w:rFonts w:ascii="Calibri" w:hAnsi="Calibri"/>
                <w:b/>
                <w:color w:val="FFFFFF"/>
                <w:sz w:val="24"/>
              </w:rPr>
              <w:t>Texto</w:t>
            </w:r>
          </w:p>
        </w:tc>
      </w:tr>
      <w:tr>
        <w:trPr>
          <w:cantSplit/>
        </w:trPr>
        <w:tc>
          <w:tcPr>
            <w:tcW w:type="dxa" w:w="3476"/>
          </w:tcPr>
          <w:p>
            <w:pPr>
              <w:spacing w:after="0"/>
              <w:jc w:val="left"/>
            </w:pPr>
            <w:r/>
            <w:r>
              <w:rPr>
                <w:rFonts w:ascii="Calibri" w:hAnsi="Calibri"/>
                <w:b/>
                <w:color w:val="1A1A1A"/>
                <w:sz w:val="24"/>
              </w:rPr>
              <w:t>Título</w:t>
            </w:r>
          </w:p>
        </w:tc>
        <w:tc>
          <w:tcPr>
            <w:tcW w:type="dxa" w:w="5596"/>
          </w:tcPr>
          <w:p>
            <w:pPr>
              <w:spacing w:after="0"/>
              <w:jc w:val="left"/>
            </w:pPr>
            <w:r/>
            <w:r>
              <w:rPr>
                <w:rFonts w:ascii="Calibri" w:hAnsi="Calibri"/>
                <w:b w:val="0"/>
                <w:color w:val="1A1A1A"/>
                <w:sz w:val="24"/>
              </w:rPr>
              <w:t>HOF Segura Digital</w:t>
            </w:r>
          </w:p>
        </w:tc>
      </w:tr>
      <w:tr>
        <w:trPr>
          <w:cantSplit/>
        </w:trPr>
        <w:tc>
          <w:tcPr>
            <w:tcW w:type="dxa" w:w="3476"/>
            <w:shd w:val="clear" w:color="auto" w:fill="F2F5F8"/>
          </w:tcPr>
          <w:p>
            <w:pPr>
              <w:spacing w:after="0"/>
              <w:jc w:val="left"/>
            </w:pPr>
            <w:r/>
            <w:r>
              <w:rPr>
                <w:rFonts w:ascii="Calibri" w:hAnsi="Calibri"/>
                <w:b/>
                <w:color w:val="1A1A1A"/>
                <w:sz w:val="24"/>
              </w:rPr>
              <w:t>Subtítulo</w:t>
            </w:r>
          </w:p>
        </w:tc>
        <w:tc>
          <w:tcPr>
            <w:tcW w:type="dxa" w:w="5596"/>
            <w:shd w:val="clear" w:color="auto" w:fill="F2F5F8"/>
          </w:tcPr>
          <w:p>
            <w:pPr>
              <w:spacing w:after="0"/>
              <w:jc w:val="left"/>
            </w:pPr>
            <w:r/>
            <w:r>
              <w:rPr>
                <w:rFonts w:ascii="Calibri" w:hAnsi="Calibri"/>
                <w:b w:val="0"/>
                <w:color w:val="1A1A1A"/>
                <w:sz w:val="24"/>
              </w:rPr>
              <w:t>Informação técnica, segurança clínica e inovação responsável em Harmonização Orofacial.</w:t>
            </w:r>
          </w:p>
        </w:tc>
      </w:tr>
      <w:tr>
        <w:trPr>
          <w:cantSplit/>
        </w:trPr>
        <w:tc>
          <w:tcPr>
            <w:tcW w:type="dxa" w:w="3476"/>
          </w:tcPr>
          <w:p>
            <w:pPr>
              <w:spacing w:after="0"/>
              <w:jc w:val="left"/>
            </w:pPr>
            <w:r/>
            <w:r>
              <w:rPr>
                <w:rFonts w:ascii="Calibri" w:hAnsi="Calibri"/>
                <w:b/>
                <w:color w:val="1A1A1A"/>
                <w:sz w:val="24"/>
              </w:rPr>
              <w:t>Abertura</w:t>
            </w:r>
          </w:p>
        </w:tc>
        <w:tc>
          <w:tcPr>
            <w:tcW w:type="dxa" w:w="5596"/>
          </w:tcPr>
          <w:p>
            <w:pPr>
              <w:spacing w:after="0"/>
              <w:jc w:val="left"/>
            </w:pPr>
            <w:r/>
            <w:r>
              <w:rPr>
                <w:rFonts w:ascii="Calibri" w:hAnsi="Calibri"/>
                <w:b w:val="0"/>
                <w:color w:val="1A1A1A"/>
                <w:sz w:val="24"/>
              </w:rPr>
              <w:t>A Câmara Técnica de Harmonização Orofacial do CRO-MG reúne orientações, instrumentos e fontes confiáveis para apoiar uma prática mais segura, documentada e alinhada às evidências e às normas aplicáveis.</w:t>
            </w:r>
          </w:p>
        </w:tc>
      </w:tr>
      <w:tr>
        <w:trPr>
          <w:cantSplit/>
        </w:trPr>
        <w:tc>
          <w:tcPr>
            <w:tcW w:type="dxa" w:w="3476"/>
            <w:shd w:val="clear" w:color="auto" w:fill="F2F5F8"/>
          </w:tcPr>
          <w:p>
            <w:pPr>
              <w:spacing w:after="0"/>
              <w:jc w:val="left"/>
            </w:pPr>
            <w:r/>
            <w:r>
              <w:rPr>
                <w:rFonts w:ascii="Calibri" w:hAnsi="Calibri"/>
                <w:b/>
                <w:color w:val="1A1A1A"/>
                <w:sz w:val="24"/>
              </w:rPr>
              <w:t>Chamada principal</w:t>
            </w:r>
          </w:p>
        </w:tc>
        <w:tc>
          <w:tcPr>
            <w:tcW w:type="dxa" w:w="5596"/>
            <w:shd w:val="clear" w:color="auto" w:fill="F2F5F8"/>
          </w:tcPr>
          <w:p>
            <w:pPr>
              <w:spacing w:after="0"/>
              <w:jc w:val="left"/>
            </w:pPr>
            <w:r/>
            <w:r>
              <w:rPr>
                <w:rFonts w:ascii="Calibri" w:hAnsi="Calibri"/>
                <w:b w:val="0"/>
                <w:color w:val="1A1A1A"/>
                <w:sz w:val="24"/>
              </w:rPr>
              <w:t>Antes de incorporar uma tecnologia, consulte. Antes de executar, documente. Antes de publicar, proteja dados. Antes de decidir, verifique evidência, escopo e segurança.</w:t>
            </w:r>
          </w:p>
        </w:tc>
      </w:tr>
      <w:tr>
        <w:trPr>
          <w:cantSplit/>
        </w:trPr>
        <w:tc>
          <w:tcPr>
            <w:tcW w:type="dxa" w:w="3476"/>
          </w:tcPr>
          <w:p>
            <w:pPr>
              <w:spacing w:after="0"/>
              <w:jc w:val="left"/>
            </w:pPr>
            <w:r/>
            <w:r>
              <w:rPr>
                <w:rFonts w:ascii="Calibri" w:hAnsi="Calibri"/>
                <w:b/>
                <w:color w:val="1A1A1A"/>
                <w:sz w:val="24"/>
              </w:rPr>
              <w:t>Ações</w:t>
            </w:r>
          </w:p>
        </w:tc>
        <w:tc>
          <w:tcPr>
            <w:tcW w:type="dxa" w:w="5596"/>
          </w:tcPr>
          <w:p>
            <w:pPr>
              <w:spacing w:after="0"/>
              <w:jc w:val="left"/>
            </w:pPr>
            <w:r/>
            <w:r>
              <w:rPr>
                <w:rFonts w:ascii="Calibri" w:hAnsi="Calibri"/>
                <w:b w:val="0"/>
                <w:color w:val="1A1A1A"/>
                <w:sz w:val="24"/>
              </w:rPr>
              <w:t>Acessar checklist. Consultar tecnologias. Ver fluxograma. Enviar pergunta.</w:t>
            </w:r>
          </w:p>
        </w:tc>
      </w:tr>
    </w:tbl>
    <w:p>
      <w:pPr>
        <w:keepNext/>
        <w:spacing w:before="360" w:after="160"/>
        <w:jc w:val="left"/>
        <w:pBdr>
          <w:bottom w:val="single" w:sz="8" w:space="4" w:color="143C64"/>
        </w:pBdr>
      </w:pPr>
      <w:r>
        <w:rPr>
          <w:rFonts w:ascii="Calibri" w:hAnsi="Calibri"/>
          <w:b/>
          <w:color w:val="143C64"/>
          <w:sz w:val="30"/>
        </w:rPr>
        <w:t>6  Governança editorial da plataforma</w:t>
      </w:r>
    </w:p>
    <w:tbl>
      <w:tblPr>
        <w:tblW w:type="auto" w:w="0"/>
        <w:jc w:val="center"/>
        <w:tblLook w:firstColumn="1" w:firstRow="1" w:lastColumn="0" w:lastRow="0" w:noHBand="0" w:noVBand="1" w:val="04A0"/>
        <w:tblBorders>
          <w:top w:val="single" w:sz="6" w:space="0" w:color="B9C2CC"/>
          <w:left w:val="single" w:sz="6" w:space="0" w:color="B9C2CC"/>
          <w:bottom w:val="single" w:sz="6" w:space="0" w:color="B9C2CC"/>
          <w:right w:val="single" w:sz="6" w:space="0" w:color="B9C2CC"/>
          <w:insideH w:val="single" w:sz="6" w:space="0" w:color="B9C2CC"/>
          <w:insideV w:val="single" w:sz="6" w:space="0" w:color="B9C2CC"/>
        </w:tblBorders>
        <w:tblCellMar>
          <w:top w:w="60" w:type="dxa"/>
          <w:left w:w="100" w:type="dxa"/>
          <w:bottom w:w="60" w:type="dxa"/>
          <w:right w:w="100" w:type="dxa"/>
        </w:tblCellMar>
        <w:tblLayout w:type="fixed"/>
      </w:tblPr>
      <w:tblGrid>
        <w:gridCol w:w="4314"/>
        <w:gridCol w:w="4758"/>
      </w:tblGrid>
      <w:tr>
        <w:trPr>
          <w:cantSplit/>
          <w:tblHeader/>
        </w:trPr>
        <w:tc>
          <w:tcPr>
            <w:tcW w:type="dxa" w:w="4314"/>
            <w:shd w:val="clear" w:color="auto" w:fill="143C64"/>
          </w:tcPr>
          <w:p>
            <w:pPr>
              <w:spacing w:after="0"/>
              <w:jc w:val="left"/>
            </w:pPr>
            <w:r/>
            <w:r>
              <w:rPr>
                <w:rFonts w:ascii="Calibri" w:hAnsi="Calibri"/>
                <w:b/>
                <w:color w:val="FFFFFF"/>
                <w:sz w:val="24"/>
              </w:rPr>
              <w:t>Regra</w:t>
            </w:r>
          </w:p>
        </w:tc>
        <w:tc>
          <w:tcPr>
            <w:tcW w:type="dxa" w:w="4758"/>
            <w:shd w:val="clear" w:color="auto" w:fill="143C64"/>
          </w:tcPr>
          <w:p>
            <w:pPr>
              <w:spacing w:after="0"/>
              <w:jc w:val="left"/>
            </w:pPr>
            <w:r/>
            <w:r>
              <w:rPr>
                <w:rFonts w:ascii="Calibri" w:hAnsi="Calibri"/>
                <w:b/>
                <w:color w:val="FFFFFF"/>
                <w:sz w:val="24"/>
              </w:rPr>
              <w:t>Aplicação</w:t>
            </w:r>
          </w:p>
        </w:tc>
      </w:tr>
      <w:tr>
        <w:trPr>
          <w:cantSplit/>
        </w:trPr>
        <w:tc>
          <w:tcPr>
            <w:tcW w:type="dxa" w:w="4314"/>
          </w:tcPr>
          <w:p>
            <w:pPr>
              <w:spacing w:after="0"/>
              <w:jc w:val="left"/>
            </w:pPr>
            <w:r/>
            <w:r>
              <w:rPr>
                <w:rFonts w:ascii="Calibri" w:hAnsi="Calibri"/>
                <w:b/>
                <w:color w:val="1A1A1A"/>
                <w:sz w:val="24"/>
              </w:rPr>
              <w:t>Fonte primária sempre que possível</w:t>
            </w:r>
          </w:p>
        </w:tc>
        <w:tc>
          <w:tcPr>
            <w:tcW w:type="dxa" w:w="4758"/>
          </w:tcPr>
          <w:p>
            <w:pPr>
              <w:spacing w:after="0"/>
              <w:jc w:val="left"/>
            </w:pPr>
            <w:r/>
            <w:r>
              <w:rPr>
                <w:rFonts w:ascii="Calibri" w:hAnsi="Calibri"/>
                <w:b w:val="0"/>
                <w:color w:val="1A1A1A"/>
                <w:sz w:val="24"/>
              </w:rPr>
              <w:t>Norma, lei, resolução ou base oficial devem trazer número, data, órgão emissor, endereço eletrônico e data da última conferência.</w:t>
            </w:r>
          </w:p>
        </w:tc>
      </w:tr>
      <w:tr>
        <w:trPr>
          <w:cantSplit/>
        </w:trPr>
        <w:tc>
          <w:tcPr>
            <w:tcW w:type="dxa" w:w="4314"/>
            <w:shd w:val="clear" w:color="auto" w:fill="F2F5F8"/>
          </w:tcPr>
          <w:p>
            <w:pPr>
              <w:spacing w:after="0"/>
              <w:jc w:val="left"/>
            </w:pPr>
            <w:r/>
            <w:r>
              <w:rPr>
                <w:rFonts w:ascii="Calibri" w:hAnsi="Calibri"/>
                <w:b/>
                <w:color w:val="1A1A1A"/>
                <w:sz w:val="24"/>
              </w:rPr>
              <w:t>Sem conteúdo clínico individualizado</w:t>
            </w:r>
          </w:p>
        </w:tc>
        <w:tc>
          <w:tcPr>
            <w:tcW w:type="dxa" w:w="4758"/>
            <w:shd w:val="clear" w:color="auto" w:fill="F2F5F8"/>
          </w:tcPr>
          <w:p>
            <w:pPr>
              <w:spacing w:after="0"/>
              <w:jc w:val="left"/>
            </w:pPr>
            <w:r/>
            <w:r>
              <w:rPr>
                <w:rFonts w:ascii="Calibri" w:hAnsi="Calibri"/>
                <w:b w:val="0"/>
                <w:color w:val="1A1A1A"/>
                <w:sz w:val="24"/>
              </w:rPr>
              <w:t>A plataforma orienta reconhecimento, documentação, consulta e encaminhamento. Não prescreve conduta individual.</w:t>
            </w:r>
          </w:p>
        </w:tc>
      </w:tr>
      <w:tr>
        <w:trPr>
          <w:cantSplit/>
        </w:trPr>
        <w:tc>
          <w:tcPr>
            <w:tcW w:type="dxa" w:w="4314"/>
          </w:tcPr>
          <w:p>
            <w:pPr>
              <w:spacing w:after="0"/>
              <w:jc w:val="left"/>
            </w:pPr>
            <w:r/>
            <w:r>
              <w:rPr>
                <w:rFonts w:ascii="Calibri" w:hAnsi="Calibri"/>
                <w:b/>
                <w:color w:val="1A1A1A"/>
                <w:sz w:val="24"/>
              </w:rPr>
              <w:t>Atualização controlada</w:t>
            </w:r>
          </w:p>
        </w:tc>
        <w:tc>
          <w:tcPr>
            <w:tcW w:type="dxa" w:w="4758"/>
          </w:tcPr>
          <w:p>
            <w:pPr>
              <w:spacing w:after="0"/>
              <w:jc w:val="left"/>
            </w:pPr>
            <w:r/>
            <w:r>
              <w:rPr>
                <w:rFonts w:ascii="Calibri" w:hAnsi="Calibri"/>
                <w:b w:val="0"/>
                <w:color w:val="1A1A1A"/>
                <w:sz w:val="24"/>
              </w:rPr>
              <w:t>Cada página informa data de atualização, documento de origem, responsável técnico e situação de validação.</w:t>
            </w:r>
          </w:p>
        </w:tc>
      </w:tr>
      <w:tr>
        <w:trPr>
          <w:cantSplit/>
        </w:trPr>
        <w:tc>
          <w:tcPr>
            <w:tcW w:type="dxa" w:w="4314"/>
            <w:shd w:val="clear" w:color="auto" w:fill="F2F5F8"/>
          </w:tcPr>
          <w:p>
            <w:pPr>
              <w:spacing w:after="0"/>
              <w:jc w:val="left"/>
            </w:pPr>
            <w:r/>
            <w:r>
              <w:rPr>
                <w:rFonts w:ascii="Calibri" w:hAnsi="Calibri"/>
                <w:b/>
                <w:color w:val="1A1A1A"/>
                <w:sz w:val="24"/>
              </w:rPr>
              <w:t>Separação entre público e interno</w:t>
            </w:r>
          </w:p>
        </w:tc>
        <w:tc>
          <w:tcPr>
            <w:tcW w:type="dxa" w:w="4758"/>
            <w:shd w:val="clear" w:color="auto" w:fill="F2F5F8"/>
          </w:tcPr>
          <w:p>
            <w:pPr>
              <w:spacing w:after="0"/>
              <w:jc w:val="left"/>
            </w:pPr>
            <w:r/>
            <w:r>
              <w:rPr>
                <w:rFonts w:ascii="Calibri" w:hAnsi="Calibri"/>
                <w:b w:val="0"/>
                <w:color w:val="1A1A1A"/>
                <w:sz w:val="24"/>
              </w:rPr>
              <w:t>Páginas públicas exibem apenas conteúdo validado. Documento em revisão permanece em área restrita ou fora da plataforma.</w:t>
            </w:r>
          </w:p>
        </w:tc>
      </w:tr>
      <w:tr>
        <w:trPr>
          <w:cantSplit/>
        </w:trPr>
        <w:tc>
          <w:tcPr>
            <w:tcW w:type="dxa" w:w="4314"/>
          </w:tcPr>
          <w:p>
            <w:pPr>
              <w:spacing w:after="0"/>
              <w:jc w:val="left"/>
            </w:pPr>
            <w:r/>
            <w:r>
              <w:rPr>
                <w:rFonts w:ascii="Calibri" w:hAnsi="Calibri"/>
                <w:b/>
                <w:color w:val="1A1A1A"/>
                <w:sz w:val="24"/>
              </w:rPr>
              <w:t>Uso limitado de inteligência artificial</w:t>
            </w:r>
          </w:p>
        </w:tc>
        <w:tc>
          <w:tcPr>
            <w:tcW w:type="dxa" w:w="4758"/>
          </w:tcPr>
          <w:p>
            <w:pPr>
              <w:spacing w:after="0"/>
              <w:jc w:val="left"/>
            </w:pPr>
            <w:r/>
            <w:r>
              <w:rPr>
                <w:rFonts w:ascii="Calibri" w:hAnsi="Calibri"/>
                <w:b w:val="0"/>
                <w:color w:val="1A1A1A"/>
                <w:sz w:val="24"/>
              </w:rPr>
              <w:t>Eventual camada de busca deve operar apenas sobre documentos aprovados, com citação da fonte e da data, sem diagnóstico e sem recomendação personalizada.</w:t>
            </w:r>
          </w:p>
        </w:tc>
      </w:tr>
      <w:tr>
        <w:trPr>
          <w:cantSplit/>
        </w:trPr>
        <w:tc>
          <w:tcPr>
            <w:tcW w:type="dxa" w:w="4314"/>
            <w:shd w:val="clear" w:color="auto" w:fill="F2F5F8"/>
          </w:tcPr>
          <w:p>
            <w:pPr>
              <w:spacing w:after="0"/>
              <w:jc w:val="left"/>
            </w:pPr>
            <w:r/>
            <w:r>
              <w:rPr>
                <w:rFonts w:ascii="Calibri" w:hAnsi="Calibri"/>
                <w:b/>
                <w:color w:val="1A1A1A"/>
                <w:sz w:val="24"/>
              </w:rPr>
              <w:t>Proteção de dados desde a concepção</w:t>
            </w:r>
          </w:p>
        </w:tc>
        <w:tc>
          <w:tcPr>
            <w:tcW w:type="dxa" w:w="4758"/>
            <w:shd w:val="clear" w:color="auto" w:fill="F2F5F8"/>
          </w:tcPr>
          <w:p>
            <w:pPr>
              <w:spacing w:after="0"/>
              <w:jc w:val="left"/>
            </w:pPr>
            <w:r/>
            <w:r>
              <w:rPr>
                <w:rFonts w:ascii="Calibri" w:hAnsi="Calibri"/>
                <w:b w:val="0"/>
                <w:color w:val="1A1A1A"/>
                <w:sz w:val="24"/>
              </w:rPr>
              <w:t>Formulário de escuta deve declarar finalidade, base legal, prazo de retenção e responsável, conforme a Lei nº 13.709/2018.</w:t>
            </w:r>
          </w:p>
        </w:tc>
      </w:tr>
    </w:tbl>
    <w:p>
      <w:pPr>
        <w:keepNext/>
        <w:spacing w:before="360" w:after="160"/>
        <w:jc w:val="left"/>
        <w:pBdr>
          <w:bottom w:val="single" w:sz="8" w:space="4" w:color="143C64"/>
        </w:pBdr>
      </w:pPr>
      <w:r>
        <w:rPr>
          <w:rFonts w:ascii="Calibri" w:hAnsi="Calibri"/>
          <w:b/>
          <w:color w:val="143C64"/>
          <w:sz w:val="30"/>
        </w:rPr>
        <w:t>7  Fases de implantação</w:t>
      </w:r>
    </w:p>
    <w:tbl>
      <w:tblPr>
        <w:tblW w:type="auto" w:w="0"/>
        <w:jc w:val="center"/>
        <w:tblLook w:firstColumn="1" w:firstRow="1" w:lastColumn="0" w:lastRow="0" w:noHBand="0" w:noVBand="1" w:val="04A0"/>
        <w:tblBorders>
          <w:top w:val="single" w:sz="6" w:space="0" w:color="B9C2CC"/>
          <w:left w:val="single" w:sz="6" w:space="0" w:color="B9C2CC"/>
          <w:bottom w:val="single" w:sz="6" w:space="0" w:color="B9C2CC"/>
          <w:right w:val="single" w:sz="6" w:space="0" w:color="B9C2CC"/>
          <w:insideH w:val="single" w:sz="6" w:space="0" w:color="B9C2CC"/>
          <w:insideV w:val="single" w:sz="6" w:space="0" w:color="B9C2CC"/>
        </w:tblBorders>
        <w:tblCellMar>
          <w:top w:w="60" w:type="dxa"/>
          <w:left w:w="100" w:type="dxa"/>
          <w:bottom w:w="60" w:type="dxa"/>
          <w:right w:w="100" w:type="dxa"/>
        </w:tblCellMar>
        <w:tblLayout w:type="fixed"/>
      </w:tblPr>
      <w:tblGrid>
        <w:gridCol w:w="2906"/>
        <w:gridCol w:w="2986"/>
        <w:gridCol w:w="3179"/>
      </w:tblGrid>
      <w:tr>
        <w:trPr>
          <w:cantSplit/>
          <w:tblHeader/>
        </w:trPr>
        <w:tc>
          <w:tcPr>
            <w:tcW w:type="dxa" w:w="2906"/>
            <w:shd w:val="clear" w:color="auto" w:fill="143C64"/>
          </w:tcPr>
          <w:p>
            <w:pPr>
              <w:spacing w:after="0"/>
              <w:jc w:val="left"/>
            </w:pPr>
            <w:r/>
            <w:r>
              <w:rPr>
                <w:rFonts w:ascii="Calibri" w:hAnsi="Calibri"/>
                <w:b/>
                <w:color w:val="FFFFFF"/>
                <w:sz w:val="24"/>
              </w:rPr>
              <w:t>Fase</w:t>
            </w:r>
          </w:p>
        </w:tc>
        <w:tc>
          <w:tcPr>
            <w:tcW w:type="dxa" w:w="2986"/>
            <w:shd w:val="clear" w:color="auto" w:fill="143C64"/>
          </w:tcPr>
          <w:p>
            <w:pPr>
              <w:spacing w:after="0"/>
              <w:jc w:val="left"/>
            </w:pPr>
            <w:r/>
            <w:r>
              <w:rPr>
                <w:rFonts w:ascii="Calibri" w:hAnsi="Calibri"/>
                <w:b/>
                <w:color w:val="FFFFFF"/>
                <w:sz w:val="24"/>
              </w:rPr>
              <w:t>Entrega</w:t>
            </w:r>
          </w:p>
        </w:tc>
        <w:tc>
          <w:tcPr>
            <w:tcW w:type="dxa" w:w="3179"/>
            <w:shd w:val="clear" w:color="auto" w:fill="143C64"/>
          </w:tcPr>
          <w:p>
            <w:pPr>
              <w:spacing w:after="0"/>
              <w:jc w:val="left"/>
            </w:pPr>
            <w:r/>
            <w:r>
              <w:rPr>
                <w:rFonts w:ascii="Calibri" w:hAnsi="Calibri"/>
                <w:b/>
                <w:color w:val="FFFFFF"/>
                <w:sz w:val="24"/>
              </w:rPr>
              <w:t>Critério de aceite</w:t>
            </w:r>
          </w:p>
        </w:tc>
      </w:tr>
      <w:tr>
        <w:trPr>
          <w:cantSplit/>
        </w:trPr>
        <w:tc>
          <w:tcPr>
            <w:tcW w:type="dxa" w:w="2906"/>
          </w:tcPr>
          <w:p>
            <w:pPr>
              <w:spacing w:after="0"/>
              <w:jc w:val="left"/>
            </w:pPr>
            <w:r/>
            <w:r>
              <w:rPr>
                <w:rFonts w:ascii="Calibri" w:hAnsi="Calibri"/>
                <w:b/>
                <w:color w:val="1A1A1A"/>
                <w:sz w:val="24"/>
              </w:rPr>
              <w:t>1</w:t>
            </w:r>
          </w:p>
          <w:p>
            <w:pPr>
              <w:spacing w:after="0"/>
              <w:jc w:val="left"/>
            </w:pPr>
            <w:r>
              <w:rPr>
                <w:rFonts w:ascii="Calibri" w:hAnsi="Calibri"/>
                <w:b w:val="0"/>
                <w:color w:val="1A1A1A"/>
                <w:sz w:val="24"/>
              </w:rPr>
              <w:t>Landing page</w:t>
            </w:r>
          </w:p>
        </w:tc>
        <w:tc>
          <w:tcPr>
            <w:tcW w:type="dxa" w:w="2986"/>
          </w:tcPr>
          <w:p>
            <w:pPr>
              <w:spacing w:after="0"/>
              <w:jc w:val="left"/>
            </w:pPr>
            <w:r/>
            <w:r>
              <w:rPr>
                <w:rFonts w:ascii="Calibri" w:hAnsi="Calibri"/>
                <w:b w:val="0"/>
                <w:color w:val="1A1A1A"/>
                <w:sz w:val="24"/>
              </w:rPr>
              <w:t>Página inicial, apresentação, biblioteca inicial, código de resposta rápida e formulário de contato.</w:t>
            </w:r>
          </w:p>
        </w:tc>
        <w:tc>
          <w:tcPr>
            <w:tcW w:type="dxa" w:w="3179"/>
          </w:tcPr>
          <w:p>
            <w:pPr>
              <w:spacing w:after="0"/>
              <w:jc w:val="left"/>
            </w:pPr>
            <w:r/>
            <w:r>
              <w:rPr>
                <w:rFonts w:ascii="Calibri" w:hAnsi="Calibri"/>
                <w:b w:val="0"/>
                <w:color w:val="1A1A1A"/>
                <w:sz w:val="24"/>
              </w:rPr>
              <w:t>Conteúdo validado, ausência de coleta de dado sensível, páginas responsivas e endereço institucional.</w:t>
            </w:r>
          </w:p>
        </w:tc>
      </w:tr>
      <w:tr>
        <w:trPr>
          <w:cantSplit/>
        </w:trPr>
        <w:tc>
          <w:tcPr>
            <w:tcW w:type="dxa" w:w="2906"/>
            <w:shd w:val="clear" w:color="auto" w:fill="F2F5F8"/>
          </w:tcPr>
          <w:p>
            <w:pPr>
              <w:spacing w:after="0"/>
              <w:jc w:val="left"/>
            </w:pPr>
            <w:r/>
            <w:r>
              <w:rPr>
                <w:rFonts w:ascii="Calibri" w:hAnsi="Calibri"/>
                <w:b/>
                <w:color w:val="1A1A1A"/>
                <w:sz w:val="24"/>
              </w:rPr>
              <w:t>2</w:t>
            </w:r>
          </w:p>
          <w:p>
            <w:pPr>
              <w:spacing w:after="0"/>
              <w:jc w:val="left"/>
            </w:pPr>
            <w:r>
              <w:rPr>
                <w:rFonts w:ascii="Calibri" w:hAnsi="Calibri"/>
                <w:b w:val="0"/>
                <w:color w:val="1A1A1A"/>
                <w:sz w:val="24"/>
              </w:rPr>
              <w:t>Hub interativo</w:t>
            </w:r>
          </w:p>
        </w:tc>
        <w:tc>
          <w:tcPr>
            <w:tcW w:type="dxa" w:w="2986"/>
            <w:shd w:val="clear" w:color="auto" w:fill="F2F5F8"/>
          </w:tcPr>
          <w:p>
            <w:pPr>
              <w:spacing w:after="0"/>
              <w:jc w:val="left"/>
            </w:pPr>
            <w:r/>
            <w:r>
              <w:rPr>
                <w:rFonts w:ascii="Calibri" w:hAnsi="Calibri"/>
                <w:b w:val="0"/>
                <w:color w:val="1A1A1A"/>
                <w:sz w:val="24"/>
              </w:rPr>
              <w:t>POPs, checklists, radar de tecnologias e fichas normativas.</w:t>
            </w:r>
          </w:p>
        </w:tc>
        <w:tc>
          <w:tcPr>
            <w:tcW w:type="dxa" w:w="3179"/>
            <w:shd w:val="clear" w:color="auto" w:fill="F2F5F8"/>
          </w:tcPr>
          <w:p>
            <w:pPr>
              <w:spacing w:after="0"/>
              <w:jc w:val="left"/>
            </w:pPr>
            <w:r/>
            <w:r>
              <w:rPr>
                <w:rFonts w:ascii="Calibri" w:hAnsi="Calibri"/>
                <w:b w:val="0"/>
                <w:color w:val="1A1A1A"/>
                <w:sz w:val="24"/>
              </w:rPr>
              <w:t>Busca por tema, controle de versão, data de revisão e fluxo de atualização definido.</w:t>
            </w:r>
          </w:p>
        </w:tc>
      </w:tr>
      <w:tr>
        <w:trPr>
          <w:cantSplit/>
        </w:trPr>
        <w:tc>
          <w:tcPr>
            <w:tcW w:type="dxa" w:w="2906"/>
          </w:tcPr>
          <w:p>
            <w:pPr>
              <w:spacing w:after="0"/>
              <w:jc w:val="left"/>
            </w:pPr>
            <w:r/>
            <w:r>
              <w:rPr>
                <w:rFonts w:ascii="Calibri" w:hAnsi="Calibri"/>
                <w:b/>
                <w:color w:val="1A1A1A"/>
                <w:sz w:val="24"/>
              </w:rPr>
              <w:t>3</w:t>
            </w:r>
          </w:p>
          <w:p>
            <w:pPr>
              <w:spacing w:after="0"/>
              <w:jc w:val="left"/>
            </w:pPr>
            <w:r>
              <w:rPr>
                <w:rFonts w:ascii="Calibri" w:hAnsi="Calibri"/>
                <w:b w:val="0"/>
                <w:color w:val="1A1A1A"/>
                <w:sz w:val="24"/>
              </w:rPr>
              <w:t>Busca assistida</w:t>
            </w:r>
          </w:p>
        </w:tc>
        <w:tc>
          <w:tcPr>
            <w:tcW w:type="dxa" w:w="2986"/>
          </w:tcPr>
          <w:p>
            <w:pPr>
              <w:spacing w:after="0"/>
              <w:jc w:val="left"/>
            </w:pPr>
            <w:r/>
            <w:r>
              <w:rPr>
                <w:rFonts w:ascii="Calibri" w:hAnsi="Calibri"/>
                <w:b w:val="0"/>
                <w:color w:val="1A1A1A"/>
                <w:sz w:val="24"/>
              </w:rPr>
              <w:t>Busca sobre documentos aprovados.</w:t>
            </w:r>
          </w:p>
        </w:tc>
        <w:tc>
          <w:tcPr>
            <w:tcW w:type="dxa" w:w="3179"/>
          </w:tcPr>
          <w:p>
            <w:pPr>
              <w:spacing w:after="0"/>
              <w:jc w:val="left"/>
            </w:pPr>
            <w:r/>
            <w:r>
              <w:rPr>
                <w:rFonts w:ascii="Calibri" w:hAnsi="Calibri"/>
                <w:b w:val="0"/>
                <w:color w:val="1A1A1A"/>
                <w:sz w:val="24"/>
              </w:rPr>
              <w:t>Resposta sempre acompanhada de fonte, seção, data e advertência de limite.</w:t>
            </w:r>
          </w:p>
        </w:tc>
      </w:tr>
      <w:tr>
        <w:trPr>
          <w:cantSplit/>
        </w:trPr>
        <w:tc>
          <w:tcPr>
            <w:tcW w:type="dxa" w:w="2906"/>
            <w:shd w:val="clear" w:color="auto" w:fill="F2F5F8"/>
          </w:tcPr>
          <w:p>
            <w:pPr>
              <w:spacing w:after="0"/>
              <w:jc w:val="left"/>
            </w:pPr>
            <w:r/>
            <w:r>
              <w:rPr>
                <w:rFonts w:ascii="Calibri" w:hAnsi="Calibri"/>
                <w:b/>
                <w:color w:val="1A1A1A"/>
                <w:sz w:val="24"/>
              </w:rPr>
              <w:t>4</w:t>
            </w:r>
          </w:p>
          <w:p>
            <w:pPr>
              <w:spacing w:after="0"/>
              <w:jc w:val="left"/>
            </w:pPr>
            <w:r>
              <w:rPr>
                <w:rFonts w:ascii="Calibri" w:hAnsi="Calibri"/>
                <w:b w:val="0"/>
                <w:color w:val="1A1A1A"/>
                <w:sz w:val="24"/>
              </w:rPr>
              <w:t>Painel institucional</w:t>
            </w:r>
          </w:p>
        </w:tc>
        <w:tc>
          <w:tcPr>
            <w:tcW w:type="dxa" w:w="2986"/>
            <w:shd w:val="clear" w:color="auto" w:fill="F2F5F8"/>
          </w:tcPr>
          <w:p>
            <w:pPr>
              <w:spacing w:after="0"/>
              <w:jc w:val="left"/>
            </w:pPr>
            <w:r/>
            <w:r>
              <w:rPr>
                <w:rFonts w:ascii="Calibri" w:hAnsi="Calibri"/>
                <w:b w:val="0"/>
                <w:color w:val="1A1A1A"/>
                <w:sz w:val="24"/>
              </w:rPr>
              <w:t>Indicadores de acesso, dúvidas recebidas, temas solicitados e ciclo de atualização.</w:t>
            </w:r>
          </w:p>
        </w:tc>
        <w:tc>
          <w:tcPr>
            <w:tcW w:type="dxa" w:w="3179"/>
            <w:shd w:val="clear" w:color="auto" w:fill="F2F5F8"/>
          </w:tcPr>
          <w:p>
            <w:pPr>
              <w:spacing w:after="0"/>
              <w:jc w:val="left"/>
            </w:pPr>
            <w:r/>
            <w:r>
              <w:rPr>
                <w:rFonts w:ascii="Calibri" w:hAnsi="Calibri"/>
                <w:b w:val="0"/>
                <w:color w:val="1A1A1A"/>
                <w:sz w:val="24"/>
              </w:rPr>
              <w:t>Painel interno para a Câmara Técnica, com relatórios periódicos.</w:t>
            </w:r>
          </w:p>
        </w:tc>
      </w:tr>
    </w:tbl>
    <w:p>
      <w:pPr>
        <w:keepNext/>
        <w:spacing w:before="360" w:after="160"/>
        <w:jc w:val="left"/>
        <w:pBdr>
          <w:bottom w:val="single" w:sz="8" w:space="4" w:color="143C64"/>
        </w:pBdr>
      </w:pPr>
      <w:r>
        <w:rPr>
          <w:rFonts w:ascii="Calibri" w:hAnsi="Calibri"/>
          <w:b/>
          <w:color w:val="143C64"/>
          <w:sz w:val="30"/>
        </w:rPr>
        <w:t>8  Decisões requeridas</w:t>
      </w:r>
    </w:p>
    <w:p>
      <w:pPr>
        <w:pStyle w:val="ListNumber"/>
        <w:spacing w:after="60"/>
        <w:ind w:left="397"/>
        <w:jc w:val="both"/>
      </w:pPr>
      <w:r>
        <w:rPr>
          <w:rFonts w:ascii="Calibri" w:hAnsi="Calibri"/>
          <w:color w:val="1A1A1A"/>
          <w:sz w:val="24"/>
        </w:rPr>
        <w:t>Aprovar o conceito HOF Segura Digital como instrumento de implementação e disseminação do Programa HOF Segura.</w:t>
      </w:r>
    </w:p>
    <w:p>
      <w:pPr>
        <w:pStyle w:val="ListNumber"/>
        <w:spacing w:after="60"/>
        <w:ind w:left="397"/>
        <w:jc w:val="both"/>
      </w:pPr>
      <w:r>
        <w:rPr>
          <w:rFonts w:ascii="Calibri" w:hAnsi="Calibri"/>
          <w:color w:val="1A1A1A"/>
          <w:sz w:val="24"/>
        </w:rPr>
        <w:t>Definir se a plataforma ficará em domínio próprio, em subpágina do CRO-MG ou em ambiente institucional já existente.</w:t>
      </w:r>
    </w:p>
    <w:p>
      <w:pPr>
        <w:pStyle w:val="ListNumber"/>
        <w:spacing w:after="60"/>
        <w:ind w:left="397"/>
        <w:jc w:val="both"/>
      </w:pPr>
      <w:r>
        <w:rPr>
          <w:rFonts w:ascii="Calibri" w:hAnsi="Calibri"/>
          <w:color w:val="1A1A1A"/>
          <w:sz w:val="24"/>
        </w:rPr>
        <w:t>Autorizar a identificação dos integrantes da Câmara Técnica e dos núcleos por função institucional.</w:t>
      </w:r>
    </w:p>
    <w:p>
      <w:pPr>
        <w:pStyle w:val="ListNumber"/>
        <w:spacing w:after="60"/>
        <w:ind w:left="397"/>
        <w:jc w:val="both"/>
      </w:pPr>
      <w:r>
        <w:rPr>
          <w:rFonts w:ascii="Calibri" w:hAnsi="Calibri"/>
          <w:color w:val="1A1A1A"/>
          <w:sz w:val="24"/>
        </w:rPr>
        <w:t>Definir o fluxo de revisão obrigatório antes de qualquer publicação pública.</w:t>
      </w:r>
    </w:p>
    <w:p>
      <w:pPr>
        <w:pStyle w:val="ListNumber"/>
        <w:spacing w:after="60"/>
        <w:ind w:left="397"/>
        <w:jc w:val="both"/>
      </w:pPr>
      <w:r>
        <w:rPr>
          <w:rFonts w:ascii="Calibri" w:hAnsi="Calibri"/>
          <w:color w:val="1A1A1A"/>
          <w:sz w:val="24"/>
        </w:rPr>
        <w:t>Deliberar sobre o formulário de escuta e a política de tratamento dos dados coletados.</w:t>
      </w:r>
    </w:p>
    <w:p>
      <w:pPr>
        <w:pStyle w:val="ListNumber"/>
        <w:spacing w:after="60"/>
        <w:ind w:left="397"/>
        <w:jc w:val="both"/>
      </w:pPr>
      <w:r>
        <w:rPr>
          <w:rFonts w:ascii="Calibri" w:hAnsi="Calibri"/>
          <w:color w:val="1A1A1A"/>
          <w:sz w:val="24"/>
        </w:rPr>
        <w:t>Definir responsável técnico pela manutenção editorial e periodicidade de revisão das páginas.</w:t>
      </w:r>
    </w:p>
    <w:tbl>
      <w:tblPr>
        <w:tblW w:type="auto" w:w="0"/>
        <w:jc w:val="center"/>
        <w:tblLook w:firstColumn="1" w:firstRow="1" w:lastColumn="0" w:lastRow="0" w:noHBand="0" w:noVBand="1" w:val="04A0"/>
        <w:tblCellMar>
          <w:top w:w="120" w:type="dxa"/>
          <w:left w:w="160" w:type="dxa"/>
          <w:bottom w:w="120" w:type="dxa"/>
          <w:right w:w="160" w:type="dxa"/>
        </w:tblCellMar>
        <w:tblBorders>
          <w:top w:val="single" w:sz="4" w:space="0" w:color="EAF0F6"/>
          <w:bottom w:val="single" w:sz="4" w:space="0" w:color="EAF0F6"/>
          <w:right w:val="single" w:sz="4" w:space="0" w:color="EAF0F6"/>
          <w:insideH w:val="single" w:sz="4" w:space="0" w:color="EAF0F6"/>
          <w:insideV w:val="single" w:sz="4" w:space="0" w:color="EAF0F6"/>
          <w:left w:val="single" w:sz="24" w:space="0" w:color="143C64"/>
        </w:tblBorders>
        <w:tblLayout w:type="fixed"/>
      </w:tblPr>
      <w:tblGrid>
        <w:gridCol w:w="9072"/>
      </w:tblGrid>
      <w:tr>
        <w:tc>
          <w:tcPr>
            <w:tcW w:type="dxa" w:w="9072"/>
            <w:shd w:val="clear" w:color="auto" w:fill="EAF0F6"/>
          </w:tcPr>
          <w:p>
            <w:pPr>
              <w:spacing w:after="60"/>
              <w:jc w:val="left"/>
            </w:pPr>
            <w:r/>
            <w:r>
              <w:rPr>
                <w:rFonts w:ascii="Calibri" w:hAnsi="Calibri"/>
                <w:b/>
                <w:color w:val="143C64"/>
                <w:sz w:val="24"/>
              </w:rPr>
              <w:t>Advertência de dependência</w:t>
            </w:r>
          </w:p>
          <w:p>
            <w:pPr>
              <w:spacing w:after="0"/>
              <w:jc w:val="both"/>
            </w:pPr>
            <w:r>
              <w:rPr>
                <w:rFonts w:ascii="Calibri" w:hAnsi="Calibri"/>
                <w:color w:val="1A1A1A"/>
                <w:sz w:val="24"/>
              </w:rPr>
              <w:t>Nenhuma fase pode iniciar publicação com conteúdo derivado de documento ainda não validado institucionalmente. A plataforma amplifica o alcance do pacote, e amplifica na mesma medida qualquer erro que ele contenha.</w:t>
            </w:r>
          </w:p>
        </w:tc>
      </w:tr>
    </w:tbl>
    <w:p>
      <w:pPr>
        <w:spacing w:after="80"/>
      </w:pPr>
    </w:p>
    <w:p>
      <w:pPr>
        <w:keepNext/>
        <w:spacing w:before="360" w:after="160"/>
        <w:jc w:val="left"/>
        <w:pBdr>
          <w:bottom w:val="single" w:sz="8" w:space="4" w:color="143C64"/>
        </w:pBdr>
      </w:pPr>
      <w:r>
        <w:rPr>
          <w:rFonts w:ascii="Calibri" w:hAnsi="Calibri"/>
          <w:b/>
          <w:color w:val="143C64"/>
          <w:sz w:val="30"/>
        </w:rPr>
        <w:t>Governança e limites institucionais</w:t>
      </w:r>
    </w:p>
    <w:p>
      <w:pPr>
        <w:spacing w:after="120"/>
        <w:jc w:val="both"/>
      </w:pPr>
      <w:r>
        <w:rPr>
          <w:rFonts w:ascii="Calibri" w:hAnsi="Calibri"/>
          <w:b w:val="0"/>
          <w:i w:val="0"/>
          <w:color w:val="1A1A1A"/>
          <w:sz w:val="24"/>
        </w:rPr>
        <w:t>O Núcleo 5 atua em caráter técnico-científico e consultivo. Seus produtos organizam evidências, critérios, fluxos e instrumentos de segurança, mas não substituem atos normativos, fiscalização, julgamento ético, decisão clínica individual ou competências da Diretoria Executiva e do Plenário do CRO-MG.</w:t>
      </w:r>
    </w:p>
    <w:p>
      <w:pPr>
        <w:pStyle w:val="ListBullet"/>
        <w:spacing w:after="60"/>
        <w:ind w:left="397"/>
        <w:jc w:val="both"/>
      </w:pPr>
      <w:r>
        <w:rPr>
          <w:rFonts w:ascii="Calibri" w:hAnsi="Calibri"/>
          <w:color w:val="1A1A1A"/>
          <w:sz w:val="24"/>
        </w:rPr>
        <w:t>Não apresentar opinião individual como posição oficial do CRO-MG.</w:t>
      </w:r>
    </w:p>
    <w:p>
      <w:pPr>
        <w:pStyle w:val="ListBullet"/>
        <w:spacing w:after="60"/>
        <w:ind w:left="397"/>
        <w:jc w:val="both"/>
      </w:pPr>
      <w:r>
        <w:rPr>
          <w:rFonts w:ascii="Calibri" w:hAnsi="Calibri"/>
          <w:color w:val="1A1A1A"/>
          <w:sz w:val="24"/>
        </w:rPr>
        <w:t>Não promover marcas, fabricantes, empresas ou interesses comerciais.</w:t>
      </w:r>
    </w:p>
    <w:p>
      <w:pPr>
        <w:pStyle w:val="ListBullet"/>
        <w:spacing w:after="60"/>
        <w:ind w:left="397"/>
        <w:jc w:val="both"/>
      </w:pPr>
      <w:r>
        <w:rPr>
          <w:rFonts w:ascii="Calibri" w:hAnsi="Calibri"/>
          <w:color w:val="1A1A1A"/>
          <w:sz w:val="24"/>
        </w:rPr>
        <w:t>Declarar conflitos de interesse antes de qualquer avaliação tecnológica.</w:t>
      </w:r>
    </w:p>
    <w:p>
      <w:pPr>
        <w:pStyle w:val="ListBullet"/>
        <w:spacing w:after="60"/>
        <w:ind w:left="397"/>
        <w:jc w:val="both"/>
      </w:pPr>
      <w:r>
        <w:rPr>
          <w:rFonts w:ascii="Calibri" w:hAnsi="Calibri"/>
          <w:color w:val="1A1A1A"/>
          <w:sz w:val="24"/>
        </w:rPr>
        <w:t>Distinguir norma vigente, evidência científica, recomendação técnica e proposta pendente de deliberação.</w:t>
      </w:r>
    </w:p>
    <w:p>
      <w:pPr>
        <w:pStyle w:val="ListBullet"/>
        <w:spacing w:after="60"/>
        <w:ind w:left="397"/>
        <w:jc w:val="both"/>
      </w:pPr>
      <w:r>
        <w:rPr>
          <w:rFonts w:ascii="Calibri" w:hAnsi="Calibri"/>
          <w:color w:val="1A1A1A"/>
          <w:sz w:val="24"/>
        </w:rPr>
        <w:t>Não divulgar externamente documentos antes do fluxo institucional de revisão e aprovação.</w:t>
      </w:r>
    </w:p>
    <w:p>
      <w:pPr>
        <w:pStyle w:val="ListBullet"/>
        <w:spacing w:after="60"/>
        <w:ind w:left="397"/>
        <w:jc w:val="both"/>
      </w:pPr>
      <w:r>
        <w:rPr>
          <w:rFonts w:ascii="Calibri" w:hAnsi="Calibri"/>
          <w:color w:val="1A1A1A"/>
          <w:sz w:val="24"/>
        </w:rPr>
        <w:t>Não compartilhar dados identificáveis de pacientes ou de profissionais sem finalidade, base legal e governança adequadas.</w:t>
      </w:r>
    </w:p>
    <w:tbl>
      <w:tblPr>
        <w:tblW w:type="auto" w:w="0"/>
        <w:jc w:val="center"/>
        <w:tblLook w:firstColumn="1" w:firstRow="1" w:lastColumn="0" w:lastRow="0" w:noHBand="0" w:noVBand="1" w:val="04A0"/>
        <w:tblCellMar>
          <w:top w:w="120" w:type="dxa"/>
          <w:left w:w="160" w:type="dxa"/>
          <w:bottom w:w="120" w:type="dxa"/>
          <w:right w:w="160" w:type="dxa"/>
        </w:tblCellMar>
        <w:tblBorders>
          <w:top w:val="single" w:sz="4" w:space="0" w:color="EAF0F6"/>
          <w:bottom w:val="single" w:sz="4" w:space="0" w:color="EAF0F6"/>
          <w:right w:val="single" w:sz="4" w:space="0" w:color="EAF0F6"/>
          <w:insideH w:val="single" w:sz="4" w:space="0" w:color="EAF0F6"/>
          <w:insideV w:val="single" w:sz="4" w:space="0" w:color="EAF0F6"/>
          <w:left w:val="single" w:sz="24" w:space="0" w:color="143C64"/>
        </w:tblBorders>
        <w:tblLayout w:type="fixed"/>
      </w:tblPr>
      <w:tblGrid>
        <w:gridCol w:w="9072"/>
      </w:tblGrid>
      <w:tr>
        <w:tc>
          <w:tcPr>
            <w:tcW w:type="dxa" w:w="9072"/>
            <w:shd w:val="clear" w:color="auto" w:fill="EAF0F6"/>
          </w:tcPr>
          <w:p>
            <w:pPr>
              <w:spacing w:after="60"/>
              <w:jc w:val="left"/>
            </w:pPr>
            <w:r/>
            <w:r>
              <w:rPr>
                <w:rFonts w:ascii="Calibri" w:hAnsi="Calibri"/>
                <w:b/>
                <w:color w:val="143C64"/>
                <w:sz w:val="24"/>
              </w:rPr>
              <w:t>Condição de uso</w:t>
            </w:r>
          </w:p>
          <w:p>
            <w:pPr>
              <w:spacing w:after="0"/>
              <w:jc w:val="both"/>
            </w:pPr>
            <w:r>
              <w:rPr>
                <w:rFonts w:ascii="Calibri" w:hAnsi="Calibri"/>
                <w:color w:val="1A1A1A"/>
                <w:sz w:val="24"/>
              </w:rPr>
              <w:t>Este documento é instrumento de trabalho do Núcleo 5. Não constitui norma, parecer vinculante, autorização de tecnologia, aval de produto comercial nem substituto da avaliação clínica individual. Sua eventual publicação externa depende de validação da Diretoria Executiva do CRO-MG.</w:t>
            </w:r>
          </w:p>
        </w:tc>
      </w:tr>
    </w:tbl>
    <w:p>
      <w:pPr>
        <w:spacing w:after="80"/>
      </w:pPr>
    </w:p>
    <w:sectPr w:rsidR="00FC693F" w:rsidRPr="0006063C" w:rsidSect="00034616">
      <w:headerReference w:type="default" r:id="rId9"/>
      <w:footerReference w:type="default" r:id="rId10"/>
      <w:pgSz w:w="11906" w:h="16838"/>
      <w:pgMar w:top="1417" w:right="1417" w:bottom="1417" w:left="141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
      <w:rPr>
        <w:rFonts w:ascii="Calibri" w:hAnsi="Calibri"/>
        <w:color w:val="444A52"/>
        <w:sz w:val="18"/>
      </w:rPr>
      <w:t>CT-HOF-DIG-01 · Proposta HOF Segura Digital · versão 1.1 · documento técnico-consultivo</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right"/>
    </w:pPr>
    <w:r/>
    <w:r>
      <w:rPr>
        <w:rFonts w:ascii="Calibri" w:hAnsi="Calibri"/>
        <w:color w:val="444A52"/>
        <w:sz w:val="18"/>
      </w:rPr>
      <w:t>Câmara Técnica de HOF · CRO-MG | CT-HOF-DIG-01</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20" w:line="276" w:lineRule="auto"/>
      <w:jc w:val="both"/>
    </w:pPr>
    <w:rPr>
      <w:rFonts w:ascii="Calibri" w:hAnsi="Calibri" w:eastAsia="Calibri"/>
      <w:color w:val="1A1A1A"/>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