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MINUTAS PARA PROTOCOLO INSTITUCIONAL</w:t>
      </w:r>
    </w:p>
    <w:p>
      <w:pPr>
        <w:spacing w:after="160"/>
        <w:jc w:val="center"/>
      </w:pPr>
      <w:r>
        <w:rPr>
          <w:rFonts w:ascii="Calibri" w:hAnsi="Calibri"/>
          <w:b/>
          <w:color w:val="143C64"/>
          <w:sz w:val="48"/>
        </w:rPr>
        <w:t>Consultas Formais</w:t>
      </w:r>
    </w:p>
    <w:p>
      <w:pPr>
        <w:spacing w:after="720"/>
        <w:jc w:val="center"/>
      </w:pPr>
      <w:r>
        <w:rPr>
          <w:rFonts w:ascii="Calibri" w:hAnsi="Calibri"/>
          <w:b w:val="0"/>
          <w:i w:val="0"/>
          <w:color w:val="444A52"/>
          <w:sz w:val="26"/>
        </w:rPr>
        <w:t>Encaminhamento à Diretoria Executiva e minutas de ofício à Vigilância Sanitária Estadual e ao CRO-MG, para consolidação da camada normativa estadual e da linha de base de processos éticos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N5-OFIC-01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1.0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Pronto para protocolo (Meta M2)</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Nota explicativa sobre a via de encaminhamento</w:t>
      </w:r>
    </w:p>
    <w:p>
      <w:pPr>
        <w:spacing w:after="120"/>
        <w:jc w:val="both"/>
      </w:pPr>
      <w:r>
        <w:rPr>
          <w:rFonts w:ascii="Calibri" w:hAnsi="Calibri"/>
          <w:b w:val="0"/>
          <w:i w:val="0"/>
          <w:color w:val="1A1A1A"/>
          <w:sz w:val="24"/>
        </w:rPr>
        <w:t>O Núcleo 5 integra a Câmara Técnica de Harmonização Orofacial do CRO-MG e possui natureza técnico-consultiva. Não detém, portanto, legitimidade para dirigir-se diretamente a órgão externo em nome do Conselho. As peças abaixo são minutas, elaboradas para subscrição e protocolo pela autoridade competente.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671"/>
        <w:gridCol w:w="3574"/>
        <w:gridCol w:w="3827"/>
      </w:tblGrid>
      <w:tr>
        <w:trPr>
          <w:cantSplit/>
          <w:tblHeader/>
        </w:trPr>
        <w:tc>
          <w:tcPr>
            <w:tcW w:type="dxa" w:w="1671"/>
            <w:shd w:val="clear" w:color="auto" w:fill="143C64"/>
          </w:tcPr>
          <w:p>
            <w:pPr>
              <w:spacing w:after="0"/>
              <w:jc w:val="left"/>
            </w:pPr>
            <w:r/>
            <w:r>
              <w:rPr>
                <w:rFonts w:ascii="Calibri" w:hAnsi="Calibri"/>
                <w:b/>
                <w:color w:val="FFFFFF"/>
                <w:sz w:val="24"/>
              </w:rPr>
              <w:t>Peça</w:t>
            </w:r>
          </w:p>
        </w:tc>
        <w:tc>
          <w:tcPr>
            <w:tcW w:type="dxa" w:w="3574"/>
            <w:shd w:val="clear" w:color="auto" w:fill="143C64"/>
          </w:tcPr>
          <w:p>
            <w:pPr>
              <w:spacing w:after="0"/>
              <w:jc w:val="left"/>
            </w:pPr>
            <w:r/>
            <w:r>
              <w:rPr>
                <w:rFonts w:ascii="Calibri" w:hAnsi="Calibri"/>
                <w:b/>
                <w:color w:val="FFFFFF"/>
                <w:sz w:val="24"/>
              </w:rPr>
              <w:t>Destinatário</w:t>
            </w:r>
          </w:p>
        </w:tc>
        <w:tc>
          <w:tcPr>
            <w:tcW w:type="dxa" w:w="3827"/>
            <w:shd w:val="clear" w:color="auto" w:fill="143C64"/>
          </w:tcPr>
          <w:p>
            <w:pPr>
              <w:spacing w:after="0"/>
              <w:jc w:val="left"/>
            </w:pPr>
            <w:r/>
            <w:r>
              <w:rPr>
                <w:rFonts w:ascii="Calibri" w:hAnsi="Calibri"/>
                <w:b/>
                <w:color w:val="FFFFFF"/>
                <w:sz w:val="24"/>
              </w:rPr>
              <w:t>Subscrição</w:t>
            </w:r>
          </w:p>
        </w:tc>
      </w:tr>
      <w:tr>
        <w:trPr>
          <w:cantSplit/>
        </w:trPr>
        <w:tc>
          <w:tcPr>
            <w:tcW w:type="dxa" w:w="1671"/>
          </w:tcPr>
          <w:p>
            <w:pPr>
              <w:spacing w:after="0"/>
              <w:jc w:val="left"/>
            </w:pPr>
            <w:r/>
            <w:r>
              <w:rPr>
                <w:rFonts w:ascii="Calibri" w:hAnsi="Calibri"/>
                <w:b/>
                <w:color w:val="1A1A1A"/>
                <w:sz w:val="24"/>
              </w:rPr>
              <w:t>Item 2</w:t>
            </w:r>
          </w:p>
        </w:tc>
        <w:tc>
          <w:tcPr>
            <w:tcW w:type="dxa" w:w="3574"/>
          </w:tcPr>
          <w:p>
            <w:pPr>
              <w:spacing w:after="0"/>
              <w:jc w:val="left"/>
            </w:pPr>
            <w:r/>
            <w:r>
              <w:rPr>
                <w:rFonts w:ascii="Calibri" w:hAnsi="Calibri"/>
                <w:b w:val="0"/>
                <w:color w:val="1A1A1A"/>
                <w:sz w:val="24"/>
              </w:rPr>
              <w:t>Diretoria Executiva do CRO-MG</w:t>
            </w:r>
          </w:p>
        </w:tc>
        <w:tc>
          <w:tcPr>
            <w:tcW w:type="dxa" w:w="3827"/>
          </w:tcPr>
          <w:p>
            <w:pPr>
              <w:spacing w:after="0"/>
              <w:jc w:val="left"/>
            </w:pPr>
            <w:r/>
            <w:r>
              <w:rPr>
                <w:rFonts w:ascii="Calibri" w:hAnsi="Calibri"/>
                <w:b w:val="0"/>
                <w:color w:val="1A1A1A"/>
                <w:sz w:val="24"/>
              </w:rPr>
              <w:t>Núcleo 5, para encaminhamento</w:t>
            </w:r>
          </w:p>
        </w:tc>
      </w:tr>
      <w:tr>
        <w:trPr>
          <w:cantSplit/>
        </w:trPr>
        <w:tc>
          <w:tcPr>
            <w:tcW w:type="dxa" w:w="1671"/>
            <w:shd w:val="clear" w:color="auto" w:fill="F2F5F8"/>
          </w:tcPr>
          <w:p>
            <w:pPr>
              <w:spacing w:after="0"/>
              <w:jc w:val="left"/>
            </w:pPr>
            <w:r/>
            <w:r>
              <w:rPr>
                <w:rFonts w:ascii="Calibri" w:hAnsi="Calibri"/>
                <w:b/>
                <w:color w:val="1A1A1A"/>
                <w:sz w:val="24"/>
              </w:rPr>
              <w:t>Anexo I</w:t>
            </w:r>
          </w:p>
        </w:tc>
        <w:tc>
          <w:tcPr>
            <w:tcW w:type="dxa" w:w="3574"/>
            <w:shd w:val="clear" w:color="auto" w:fill="F2F5F8"/>
          </w:tcPr>
          <w:p>
            <w:pPr>
              <w:spacing w:after="0"/>
              <w:jc w:val="left"/>
            </w:pPr>
            <w:r/>
            <w:r>
              <w:rPr>
                <w:rFonts w:ascii="Calibri" w:hAnsi="Calibri"/>
                <w:b w:val="0"/>
                <w:color w:val="1A1A1A"/>
                <w:sz w:val="24"/>
              </w:rPr>
              <w:t>Autoridade estadual de vigilância sanitária de Minas Gerais</w:t>
            </w:r>
          </w:p>
        </w:tc>
        <w:tc>
          <w:tcPr>
            <w:tcW w:type="dxa" w:w="3827"/>
            <w:shd w:val="clear" w:color="auto" w:fill="F2F5F8"/>
          </w:tcPr>
          <w:p>
            <w:pPr>
              <w:spacing w:after="0"/>
              <w:jc w:val="left"/>
            </w:pPr>
            <w:r/>
            <w:r>
              <w:rPr>
                <w:rFonts w:ascii="Calibri" w:hAnsi="Calibri"/>
                <w:b w:val="0"/>
                <w:color w:val="1A1A1A"/>
                <w:sz w:val="24"/>
              </w:rPr>
              <w:t>Autoridade competente do CRO-MG, conforme definição da Diretoria Executiva</w:t>
            </w:r>
          </w:p>
        </w:tc>
      </w:tr>
      <w:tr>
        <w:trPr>
          <w:cantSplit/>
        </w:trPr>
        <w:tc>
          <w:tcPr>
            <w:tcW w:type="dxa" w:w="1671"/>
          </w:tcPr>
          <w:p>
            <w:pPr>
              <w:spacing w:after="0"/>
              <w:jc w:val="left"/>
            </w:pPr>
            <w:r/>
            <w:r>
              <w:rPr>
                <w:rFonts w:ascii="Calibri" w:hAnsi="Calibri"/>
                <w:b/>
                <w:color w:val="1A1A1A"/>
                <w:sz w:val="24"/>
              </w:rPr>
              <w:t>Anexo II</w:t>
            </w:r>
          </w:p>
        </w:tc>
        <w:tc>
          <w:tcPr>
            <w:tcW w:type="dxa" w:w="3574"/>
          </w:tcPr>
          <w:p>
            <w:pPr>
              <w:spacing w:after="0"/>
              <w:jc w:val="left"/>
            </w:pPr>
            <w:r/>
            <w:r>
              <w:rPr>
                <w:rFonts w:ascii="Calibri" w:hAnsi="Calibri"/>
                <w:b w:val="0"/>
                <w:color w:val="1A1A1A"/>
                <w:sz w:val="24"/>
              </w:rPr>
              <w:t>Órgão interno competente do CRO-MG</w:t>
            </w:r>
          </w:p>
        </w:tc>
        <w:tc>
          <w:tcPr>
            <w:tcW w:type="dxa" w:w="3827"/>
          </w:tcPr>
          <w:p>
            <w:pPr>
              <w:spacing w:after="0"/>
              <w:jc w:val="left"/>
            </w:pPr>
            <w:r/>
            <w:r>
              <w:rPr>
                <w:rFonts w:ascii="Calibri" w:hAnsi="Calibri"/>
                <w:b w:val="0"/>
                <w:color w:val="1A1A1A"/>
                <w:sz w:val="24"/>
              </w:rPr>
              <w:t>Autoridade competente do CRO-MG, conforme definição da Diretoria Executiva</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DF4E6"/>
          <w:bottom w:val="single" w:sz="4" w:space="0" w:color="FDF4E6"/>
          <w:right w:val="single" w:sz="4" w:space="0" w:color="FDF4E6"/>
          <w:insideH w:val="single" w:sz="4" w:space="0" w:color="FDF4E6"/>
          <w:insideV w:val="single" w:sz="4" w:space="0" w:color="FDF4E6"/>
          <w:left w:val="single" w:sz="24" w:space="0" w:color="A66A00"/>
        </w:tblBorders>
        <w:tblLayout w:type="fixed"/>
      </w:tblPr>
      <w:tblGrid>
        <w:gridCol w:w="9072"/>
      </w:tblGrid>
      <w:tr>
        <w:tc>
          <w:tcPr>
            <w:tcW w:type="dxa" w:w="9072"/>
            <w:shd w:val="clear" w:color="auto" w:fill="FDF4E6"/>
          </w:tcPr>
          <w:p>
            <w:pPr>
              <w:spacing w:after="60"/>
              <w:jc w:val="left"/>
            </w:pPr>
            <w:r/>
            <w:r>
              <w:rPr>
                <w:rFonts w:ascii="Calibri" w:hAnsi="Calibri"/>
                <w:b/>
                <w:color w:val="143C64"/>
                <w:sz w:val="24"/>
              </w:rPr>
              <w:t>Campos a confirmar antes do protocolo</w:t>
            </w:r>
          </w:p>
          <w:p>
            <w:pPr>
              <w:spacing w:after="0"/>
              <w:jc w:val="both"/>
            </w:pPr>
            <w:r>
              <w:rPr>
                <w:rFonts w:ascii="Calibri" w:hAnsi="Calibri"/>
                <w:color w:val="1A1A1A"/>
                <w:sz w:val="24"/>
              </w:rPr>
              <w:t>As minutas contêm campos deixados em aberto de forma deliberada: denominação exata e endereçamento da autoridade destinatária, numeração do ofício, data, referência processual interna e assinatura. O Núcleo não preencheu esses campos por não dispor de informação verificada sobre a denominação atual dos órgãos e sobre a numeração em uso. O preenchimento compete à Secretaria da Diretoria Executiva.</w:t>
            </w:r>
          </w:p>
        </w:tc>
      </w:tr>
    </w:tbl>
    <w:p>
      <w:pPr>
        <w:spacing w:after="80"/>
      </w:pPr>
    </w:p>
    <w:p>
      <w:pPr>
        <w:keepNext/>
        <w:spacing w:before="360" w:after="160"/>
        <w:jc w:val="left"/>
        <w:pBdr>
          <w:bottom w:val="single" w:sz="8" w:space="4" w:color="143C64"/>
        </w:pBdr>
      </w:pPr>
      <w:r>
        <w:rPr>
          <w:rFonts w:ascii="Calibri" w:hAnsi="Calibri"/>
          <w:b/>
          <w:color w:val="143C64"/>
          <w:sz w:val="30"/>
        </w:rPr>
        <w:t>2  Encaminhamento à Diretoria Executiva</w:t>
      </w:r>
    </w:p>
    <w:p>
      <w:pPr>
        <w:spacing w:after="240"/>
        <w:jc w:val="both"/>
      </w:pPr>
      <w:r>
        <w:rPr>
          <w:rFonts w:ascii="Calibri" w:hAnsi="Calibri"/>
          <w:b w:val="0"/>
          <w:i w:val="0"/>
          <w:color w:val="1A1A1A"/>
          <w:sz w:val="24"/>
        </w:rPr>
        <w:t>Ao Excelentíssimo Senhor Presidente do Conselho Regional de Odontologia de Minas Gerais e à Diretoria Executiva.</w:t>
      </w:r>
    </w:p>
    <w:p>
      <w:pPr>
        <w:spacing w:after="240"/>
        <w:jc w:val="both"/>
      </w:pPr>
      <w:r>
        <w:rPr>
          <w:rFonts w:ascii="Calibri" w:hAnsi="Calibri"/>
          <w:b/>
          <w:i w:val="0"/>
          <w:color w:val="1A1A1A"/>
          <w:sz w:val="24"/>
        </w:rPr>
        <w:t>Assunto: solicitação de protocolo de consultas formais necessárias ao cumprimento da Meta M2 do plano de trabalho do Núcleo 5, ciclo 2026.</w:t>
      </w:r>
    </w:p>
    <w:p>
      <w:pPr>
        <w:spacing w:after="120"/>
        <w:jc w:val="both"/>
      </w:pPr>
      <w:r>
        <w:rPr>
          <w:rFonts w:ascii="Calibri" w:hAnsi="Calibri"/>
          <w:b w:val="0"/>
          <w:i w:val="0"/>
          <w:color w:val="1A1A1A"/>
          <w:sz w:val="24"/>
        </w:rPr>
        <w:t>O Núcleo 5, Inovação, Tecnologias e Segurança Clínica, instituído no âmbito da Câmara Técnica de Harmonização Orofacial pela Portaria CRO-MG nº 190/2026, vem submeter à Diretoria Executiva as minutas anexas, para subscrição e protocolo junto aos órgãos indicados.</w:t>
      </w:r>
    </w:p>
    <w:p>
      <w:pPr>
        <w:keepNext/>
        <w:spacing w:before="240" w:after="80"/>
        <w:jc w:val="left"/>
      </w:pPr>
      <w:r>
        <w:rPr>
          <w:rFonts w:ascii="Calibri" w:hAnsi="Calibri"/>
          <w:b/>
          <w:color w:val="143C64"/>
          <w:sz w:val="26"/>
        </w:rPr>
        <w:t>2.1  Justificativa técnica</w:t>
      </w:r>
    </w:p>
    <w:p>
      <w:pPr>
        <w:spacing w:after="120"/>
        <w:jc w:val="both"/>
      </w:pPr>
      <w:r>
        <w:rPr>
          <w:rFonts w:ascii="Calibri" w:hAnsi="Calibri"/>
          <w:b w:val="0"/>
          <w:i w:val="0"/>
          <w:color w:val="1A1A1A"/>
          <w:sz w:val="24"/>
        </w:rPr>
        <w:t>O plano de trabalho do ciclo prevê, como Meta M2, a consolidação do mapa normativo aplicável à prática de harmonização orofacial com uso de tecnologias. O mapeamento da base federal foi concluído e consta do documento N5-MAPA-01. Uma camada, entretanto, não pode ser consolidada por pesquisa documental: as exigências práticas de vigilância sanitária fixadas em âmbito estadual e municipal, que variam entre os municípios de Minas Gerais.</w:t>
      </w:r>
    </w:p>
    <w:p>
      <w:pPr>
        <w:spacing w:after="120"/>
        <w:jc w:val="both"/>
      </w:pPr>
      <w:r>
        <w:rPr>
          <w:rFonts w:ascii="Calibri" w:hAnsi="Calibri"/>
          <w:b w:val="0"/>
          <w:i w:val="0"/>
          <w:color w:val="1A1A1A"/>
          <w:sz w:val="24"/>
        </w:rPr>
        <w:t>Preencher essa camada por inferência a partir da norma federal produziria orientação incorreta e exporia o Conselho. O Núcleo optou, por rigor metodológico, por declarar a lacuna e propor consulta formal, e não por estimá-la.</w:t>
      </w:r>
    </w:p>
    <w:p>
      <w:pPr>
        <w:spacing w:after="120"/>
        <w:jc w:val="both"/>
      </w:pPr>
      <w:r>
        <w:rPr>
          <w:rFonts w:ascii="Calibri" w:hAnsi="Calibri"/>
          <w:b w:val="0"/>
          <w:i w:val="0"/>
          <w:color w:val="1A1A1A"/>
          <w:sz w:val="24"/>
        </w:rPr>
        <w:t>Situação equivalente ocorre quanto à linha de base de processos éticos. O levantamento de litígios previsto na Meta M3 depende, na dimensão estadual, de dados agregados que somente o próprio Conselho detém. Não há alternativa metodológica a essa consulta.</w:t>
      </w:r>
    </w:p>
    <w:p>
      <w:pPr>
        <w:keepNext/>
        <w:spacing w:before="240" w:after="80"/>
        <w:jc w:val="left"/>
      </w:pPr>
      <w:r>
        <w:rPr>
          <w:rFonts w:ascii="Calibri" w:hAnsi="Calibri"/>
          <w:b/>
          <w:color w:val="143C64"/>
          <w:sz w:val="26"/>
        </w:rPr>
        <w:t>2.2  Elemento de urgência</w:t>
      </w:r>
    </w:p>
    <w:p>
      <w:pPr>
        <w:spacing w:after="120"/>
        <w:jc w:val="both"/>
      </w:pPr>
      <w:r>
        <w:rPr>
          <w:rFonts w:ascii="Calibri" w:hAnsi="Calibri"/>
          <w:b w:val="0"/>
          <w:i w:val="0"/>
          <w:color w:val="1A1A1A"/>
          <w:sz w:val="24"/>
        </w:rPr>
        <w:t>A RDC Anvisa nº 1.002, de 15 de dezembro de 2025, que dispõe sobre Boas Práticas de Funcionamento para os serviços que prestam assistência odontológica, estabeleceu prazo de 360 dias para adequação, contados de sua publicação. O prazo encerra-se em dezembro de 2026. Os produtos do Núcleo alcançam os inscritos exatamente no período em que a adequação se torna exigível, o que confere utilidade prática imediata às respostas ora solicitadas e recomenda celeridade no protocolo.</w:t>
      </w:r>
    </w:p>
    <w:p>
      <w:pPr>
        <w:keepNext/>
        <w:spacing w:before="240" w:after="80"/>
        <w:jc w:val="left"/>
      </w:pPr>
      <w:r>
        <w:rPr>
          <w:rFonts w:ascii="Calibri" w:hAnsi="Calibri"/>
          <w:b/>
          <w:color w:val="143C64"/>
          <w:sz w:val="26"/>
        </w:rPr>
        <w:t>2.3  Do que se solicita</w:t>
      </w:r>
    </w:p>
    <w:p>
      <w:pPr>
        <w:pStyle w:val="ListNumber"/>
        <w:spacing w:after="60"/>
        <w:ind w:left="397"/>
        <w:jc w:val="both"/>
      </w:pPr>
      <w:r>
        <w:rPr>
          <w:rFonts w:ascii="Calibri" w:hAnsi="Calibri"/>
          <w:color w:val="1A1A1A"/>
          <w:sz w:val="24"/>
        </w:rPr>
        <w:t>Subscrição e protocolo da minuta constante do Anexo I, dirigida à autoridade estadual de vigilância sanitária de Minas Gerais.</w:t>
      </w:r>
    </w:p>
    <w:p>
      <w:pPr>
        <w:pStyle w:val="ListNumber"/>
        <w:spacing w:after="60"/>
        <w:ind w:left="397"/>
        <w:jc w:val="both"/>
      </w:pPr>
      <w:r>
        <w:rPr>
          <w:rFonts w:ascii="Calibri" w:hAnsi="Calibri"/>
          <w:color w:val="1A1A1A"/>
          <w:sz w:val="24"/>
        </w:rPr>
        <w:t>Subscrição e encaminhamento da minuta constante do Anexo II, dirigida ao órgão interno competente deste Conselho.</w:t>
      </w:r>
    </w:p>
    <w:p>
      <w:pPr>
        <w:pStyle w:val="ListNumber"/>
        <w:spacing w:after="60"/>
        <w:ind w:left="397"/>
        <w:jc w:val="both"/>
      </w:pPr>
      <w:r>
        <w:rPr>
          <w:rFonts w:ascii="Calibri" w:hAnsi="Calibri"/>
          <w:color w:val="1A1A1A"/>
          <w:sz w:val="24"/>
        </w:rPr>
        <w:t>Ciência ao Núcleo 5 do número de protocolo de cada expediente, para juntada aos autos do Núcleo e registro do indicador de verificação da Meta M2.</w:t>
      </w:r>
    </w:p>
    <w:p>
      <w:pPr>
        <w:pStyle w:val="ListNumber"/>
        <w:spacing w:after="60"/>
        <w:ind w:left="397"/>
        <w:jc w:val="both"/>
      </w:pPr>
      <w:r>
        <w:rPr>
          <w:rFonts w:ascii="Calibri" w:hAnsi="Calibri"/>
          <w:color w:val="1A1A1A"/>
          <w:sz w:val="24"/>
        </w:rPr>
        <w:t>Encaminhamento das respostas ao Núcleo 5, tão logo recebidas, para incorporação aos produtos do ciclo.</w:t>
      </w:r>
    </w:p>
    <w:p>
      <w:pPr>
        <w:spacing w:after="36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536"/>
        <w:gridCol w:w="4536"/>
      </w:tblGrid>
      <w:tr>
        <w:trPr>
          <w:cantSplit/>
          <w:tblHeader/>
        </w:trPr>
        <w:tc>
          <w:tcPr>
            <w:tcW w:type="dxa" w:w="4536"/>
            <w:shd w:val="clear" w:color="auto" w:fill="143C64"/>
          </w:tcPr>
          <w:p>
            <w:pPr>
              <w:spacing w:after="0"/>
              <w:jc w:val="left"/>
            </w:pPr>
            <w:r/>
            <w:r>
              <w:rPr>
                <w:rFonts w:ascii="Calibri" w:hAnsi="Calibri"/>
                <w:b/>
                <w:color w:val="FFFFFF"/>
                <w:sz w:val="24"/>
              </w:rPr>
              <w:t>Subscrição</w:t>
            </w:r>
          </w:p>
        </w:tc>
        <w:tc>
          <w:tcPr>
            <w:tcW w:type="dxa" w:w="4536"/>
            <w:shd w:val="clear" w:color="auto" w:fill="143C64"/>
          </w:tcPr>
          <w:p>
            <w:pPr>
              <w:spacing w:after="0"/>
              <w:jc w:val="left"/>
            </w:pPr>
            <w:r/>
            <w:r>
              <w:rPr>
                <w:rFonts w:ascii="Calibri" w:hAnsi="Calibri"/>
                <w:b/>
                <w:color w:val="FFFFFF"/>
                <w:sz w:val="24"/>
              </w:rPr>
              <w:t>Registro</w:t>
            </w:r>
          </w:p>
        </w:tc>
      </w:tr>
      <w:tr>
        <w:trPr>
          <w:cantSplit/>
        </w:trPr>
        <w:tc>
          <w:tcPr>
            <w:tcW w:type="dxa" w:w="4536"/>
          </w:tcPr>
          <w:p>
            <w:pPr>
              <w:spacing w:after="0"/>
              <w:jc w:val="left"/>
            </w:pPr>
            <w:r/>
            <w:r>
              <w:rPr>
                <w:rFonts w:ascii="Calibri" w:hAnsi="Calibri"/>
                <w:b w:val="0"/>
                <w:color w:val="1A1A1A"/>
                <w:sz w:val="24"/>
              </w:rPr>
              <w:t>Allyson Fonseca, CD, MG-CD 37.755</w:t>
            </w:r>
          </w:p>
        </w:tc>
        <w:tc>
          <w:tcPr>
            <w:tcW w:type="dxa" w:w="4536"/>
          </w:tcPr>
          <w:p>
            <w:pPr>
              <w:spacing w:after="0"/>
              <w:jc w:val="left"/>
            </w:pPr>
            <w:r/>
            <w:r>
              <w:rPr>
                <w:rFonts w:ascii="Calibri" w:hAnsi="Calibri"/>
                <w:b w:val="0"/>
                <w:color w:val="1A1A1A"/>
                <w:sz w:val="24"/>
              </w:rPr>
              <w:t>Presidente do Núcleo 5</w:t>
            </w:r>
          </w:p>
        </w:tc>
      </w:tr>
      <w:tr>
        <w:trPr>
          <w:cantSplit/>
        </w:trPr>
        <w:tc>
          <w:tcPr>
            <w:tcW w:type="dxa" w:w="4536"/>
            <w:shd w:val="clear" w:color="auto" w:fill="F2F5F8"/>
          </w:tcPr>
          <w:p>
            <w:pPr>
              <w:spacing w:after="0"/>
              <w:jc w:val="left"/>
            </w:pPr>
            <w:r/>
            <w:r>
              <w:rPr>
                <w:rFonts w:ascii="Calibri" w:hAnsi="Calibri"/>
                <w:b w:val="0"/>
                <w:color w:val="1A1A1A"/>
                <w:sz w:val="24"/>
              </w:rPr>
              <w:t>Local e data</w:t>
            </w:r>
          </w:p>
        </w:tc>
        <w:tc>
          <w:tcPr>
            <w:tcW w:type="dxa" w:w="4536"/>
            <w:shd w:val="clear" w:color="auto" w:fill="F2F5F8"/>
          </w:tcPr>
          <w:p>
            <w:pPr>
              <w:spacing w:after="0"/>
              <w:jc w:val="left"/>
            </w:pPr>
            <w:r/>
            <w:r>
              <w:rPr>
                <w:rFonts w:ascii="Calibri" w:hAnsi="Calibri"/>
                <w:b w:val="0"/>
                <w:color w:val="1A1A1A"/>
                <w:sz w:val="24"/>
              </w:rPr>
            </w:r>
          </w:p>
        </w:tc>
      </w:tr>
      <w:tr>
        <w:trPr>
          <w:cantSplit/>
        </w:trPr>
        <w:tc>
          <w:tcPr>
            <w:tcW w:type="dxa" w:w="4536"/>
          </w:tcPr>
          <w:p>
            <w:pPr>
              <w:spacing w:after="0"/>
              <w:jc w:val="left"/>
            </w:pPr>
            <w:r/>
            <w:r>
              <w:rPr>
                <w:rFonts w:ascii="Calibri" w:hAnsi="Calibri"/>
                <w:b w:val="0"/>
                <w:color w:val="1A1A1A"/>
                <w:sz w:val="24"/>
              </w:rPr>
              <w:t>Assinatura</w:t>
            </w:r>
          </w:p>
        </w:tc>
        <w:tc>
          <w:tcPr>
            <w:tcW w:type="dxa" w:w="4536"/>
          </w:tcPr>
          <w:p>
            <w:pPr>
              <w:spacing w:after="0"/>
              <w:jc w:val="left"/>
            </w:pPr>
            <w:r/>
            <w:r>
              <w:rPr>
                <w:rFonts w:ascii="Calibri" w:hAnsi="Calibri"/>
                <w:b w:val="0"/>
                <w:color w:val="1A1A1A"/>
                <w:sz w:val="24"/>
              </w:rPr>
            </w:r>
          </w:p>
        </w:tc>
      </w:tr>
    </w:tbl>
    <w:p>
      <w:r>
        <w:br w:type="page"/>
      </w:r>
    </w:p>
    <w:p>
      <w:pPr>
        <w:keepNext/>
        <w:spacing w:before="360" w:after="160"/>
        <w:jc w:val="left"/>
        <w:pBdr>
          <w:bottom w:val="single" w:sz="8" w:space="4" w:color="143C64"/>
        </w:pBdr>
      </w:pPr>
      <w:r>
        <w:rPr>
          <w:rFonts w:ascii="Calibri" w:hAnsi="Calibri"/>
          <w:b/>
          <w:color w:val="143C64"/>
          <w:sz w:val="30"/>
        </w:rPr>
        <w:t>Anexo I. Minuta de ofício à Vigilância Sanitária Estadual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187"/>
        <w:gridCol w:w="4885"/>
      </w:tblGrid>
      <w:tr>
        <w:trPr>
          <w:cantSplit/>
          <w:tblHeader/>
        </w:trPr>
        <w:tc>
          <w:tcPr>
            <w:tcW w:type="dxa" w:w="4187"/>
            <w:shd w:val="clear" w:color="auto" w:fill="143C64"/>
          </w:tcPr>
          <w:p>
            <w:pPr>
              <w:spacing w:after="0"/>
              <w:jc w:val="left"/>
            </w:pPr>
            <w:r/>
            <w:r>
              <w:rPr>
                <w:rFonts w:ascii="Calibri" w:hAnsi="Calibri"/>
                <w:b/>
                <w:color w:val="FFFFFF"/>
                <w:sz w:val="24"/>
              </w:rPr>
              <w:t>Campo</w:t>
            </w:r>
          </w:p>
        </w:tc>
        <w:tc>
          <w:tcPr>
            <w:tcW w:type="dxa" w:w="4885"/>
            <w:shd w:val="clear" w:color="auto" w:fill="143C64"/>
          </w:tcPr>
          <w:p>
            <w:pPr>
              <w:spacing w:after="0"/>
              <w:jc w:val="left"/>
            </w:pPr>
            <w:r/>
            <w:r>
              <w:rPr>
                <w:rFonts w:ascii="Calibri" w:hAnsi="Calibri"/>
                <w:b/>
                <w:color w:val="FFFFFF"/>
                <w:sz w:val="24"/>
              </w:rPr>
              <w:t>Preenchimento pela Secretaria</w:t>
            </w:r>
          </w:p>
        </w:tc>
      </w:tr>
      <w:tr>
        <w:trPr>
          <w:cantSplit/>
        </w:trPr>
        <w:tc>
          <w:tcPr>
            <w:tcW w:type="dxa" w:w="4187"/>
          </w:tcPr>
          <w:p>
            <w:pPr>
              <w:spacing w:after="0"/>
              <w:jc w:val="left"/>
            </w:pPr>
            <w:r/>
            <w:r>
              <w:rPr>
                <w:rFonts w:ascii="Calibri" w:hAnsi="Calibri"/>
                <w:b w:val="0"/>
                <w:color w:val="1A1A1A"/>
                <w:sz w:val="24"/>
              </w:rPr>
              <w:t>Ofício nº</w:t>
            </w:r>
          </w:p>
        </w:tc>
        <w:tc>
          <w:tcPr>
            <w:tcW w:type="dxa" w:w="4885"/>
          </w:tcPr>
          <w:p>
            <w:pPr>
              <w:spacing w:after="0"/>
              <w:jc w:val="left"/>
            </w:pPr>
            <w:r/>
            <w:r>
              <w:rPr>
                <w:rFonts w:ascii="Calibri" w:hAnsi="Calibri"/>
                <w:b w:val="0"/>
                <w:color w:val="1A1A1A"/>
                <w:sz w:val="24"/>
              </w:rPr>
            </w:r>
          </w:p>
        </w:tc>
      </w:tr>
      <w:tr>
        <w:trPr>
          <w:cantSplit/>
        </w:trPr>
        <w:tc>
          <w:tcPr>
            <w:tcW w:type="dxa" w:w="4187"/>
            <w:shd w:val="clear" w:color="auto" w:fill="F2F5F8"/>
          </w:tcPr>
          <w:p>
            <w:pPr>
              <w:spacing w:after="0"/>
              <w:jc w:val="left"/>
            </w:pPr>
            <w:r/>
            <w:r>
              <w:rPr>
                <w:rFonts w:ascii="Calibri" w:hAnsi="Calibri"/>
                <w:b w:val="0"/>
                <w:color w:val="1A1A1A"/>
                <w:sz w:val="24"/>
              </w:rPr>
              <w:t>Data</w:t>
            </w:r>
          </w:p>
        </w:tc>
        <w:tc>
          <w:tcPr>
            <w:tcW w:type="dxa" w:w="4885"/>
            <w:shd w:val="clear" w:color="auto" w:fill="F2F5F8"/>
          </w:tcPr>
          <w:p>
            <w:pPr>
              <w:spacing w:after="0"/>
              <w:jc w:val="left"/>
            </w:pPr>
            <w:r/>
            <w:r>
              <w:rPr>
                <w:rFonts w:ascii="Calibri" w:hAnsi="Calibri"/>
                <w:b w:val="0"/>
                <w:color w:val="1A1A1A"/>
                <w:sz w:val="24"/>
              </w:rPr>
            </w:r>
          </w:p>
        </w:tc>
      </w:tr>
      <w:tr>
        <w:trPr>
          <w:cantSplit/>
        </w:trPr>
        <w:tc>
          <w:tcPr>
            <w:tcW w:type="dxa" w:w="4187"/>
          </w:tcPr>
          <w:p>
            <w:pPr>
              <w:spacing w:after="0"/>
              <w:jc w:val="left"/>
            </w:pPr>
            <w:r/>
            <w:r>
              <w:rPr>
                <w:rFonts w:ascii="Calibri" w:hAnsi="Calibri"/>
                <w:b w:val="0"/>
                <w:color w:val="1A1A1A"/>
                <w:sz w:val="24"/>
              </w:rPr>
              <w:t>Destinatário (denominação e cargo)</w:t>
            </w:r>
          </w:p>
        </w:tc>
        <w:tc>
          <w:tcPr>
            <w:tcW w:type="dxa" w:w="4885"/>
          </w:tcPr>
          <w:p>
            <w:pPr>
              <w:spacing w:after="0"/>
              <w:jc w:val="left"/>
            </w:pPr>
            <w:r/>
            <w:r>
              <w:rPr>
                <w:rFonts w:ascii="Calibri" w:hAnsi="Calibri"/>
                <w:b w:val="0"/>
                <w:color w:val="1A1A1A"/>
                <w:sz w:val="24"/>
              </w:rPr>
            </w:r>
          </w:p>
        </w:tc>
      </w:tr>
      <w:tr>
        <w:trPr>
          <w:cantSplit/>
        </w:trPr>
        <w:tc>
          <w:tcPr>
            <w:tcW w:type="dxa" w:w="4187"/>
            <w:shd w:val="clear" w:color="auto" w:fill="F2F5F8"/>
          </w:tcPr>
          <w:p>
            <w:pPr>
              <w:spacing w:after="0"/>
              <w:jc w:val="left"/>
            </w:pPr>
            <w:r/>
            <w:r>
              <w:rPr>
                <w:rFonts w:ascii="Calibri" w:hAnsi="Calibri"/>
                <w:b w:val="0"/>
                <w:color w:val="1A1A1A"/>
                <w:sz w:val="24"/>
              </w:rPr>
              <w:t>Endereço</w:t>
            </w:r>
          </w:p>
        </w:tc>
        <w:tc>
          <w:tcPr>
            <w:tcW w:type="dxa" w:w="4885"/>
            <w:shd w:val="clear" w:color="auto" w:fill="F2F5F8"/>
          </w:tcPr>
          <w:p>
            <w:pPr>
              <w:spacing w:after="0"/>
              <w:jc w:val="left"/>
            </w:pPr>
            <w:r/>
            <w:r>
              <w:rPr>
                <w:rFonts w:ascii="Calibri" w:hAnsi="Calibri"/>
                <w:b w:val="0"/>
                <w:color w:val="1A1A1A"/>
                <w:sz w:val="24"/>
              </w:rPr>
            </w:r>
          </w:p>
        </w:tc>
      </w:tr>
      <w:tr>
        <w:trPr>
          <w:cantSplit/>
        </w:trPr>
        <w:tc>
          <w:tcPr>
            <w:tcW w:type="dxa" w:w="4187"/>
          </w:tcPr>
          <w:p>
            <w:pPr>
              <w:spacing w:after="0"/>
              <w:jc w:val="left"/>
            </w:pPr>
            <w:r/>
            <w:r>
              <w:rPr>
                <w:rFonts w:ascii="Calibri" w:hAnsi="Calibri"/>
                <w:b w:val="0"/>
                <w:color w:val="1A1A1A"/>
                <w:sz w:val="24"/>
              </w:rPr>
              <w:t>Referência interna</w:t>
            </w:r>
          </w:p>
        </w:tc>
        <w:tc>
          <w:tcPr>
            <w:tcW w:type="dxa" w:w="4885"/>
          </w:tcPr>
          <w:p>
            <w:pPr>
              <w:spacing w:after="0"/>
              <w:jc w:val="left"/>
            </w:pPr>
            <w:r/>
            <w:r>
              <w:rPr>
                <w:rFonts w:ascii="Calibri" w:hAnsi="Calibri"/>
                <w:b w:val="0"/>
                <w:color w:val="1A1A1A"/>
                <w:sz w:val="24"/>
              </w:rPr>
            </w:r>
          </w:p>
        </w:tc>
      </w:tr>
    </w:tbl>
    <w:p>
      <w:pPr>
        <w:spacing w:after="240"/>
      </w:pPr>
    </w:p>
    <w:p>
      <w:pPr>
        <w:spacing w:after="240"/>
        <w:jc w:val="both"/>
      </w:pPr>
      <w:r>
        <w:rPr>
          <w:rFonts w:ascii="Calibri" w:hAnsi="Calibri"/>
          <w:b/>
          <w:i w:val="0"/>
          <w:color w:val="1A1A1A"/>
          <w:sz w:val="24"/>
        </w:rPr>
        <w:t>Assunto: solicitação de informações técnicas sobre exigências sanitárias aplicáveis a serviços odontológicos que utilizam tecnologias em harmonização orofacial no Estado de Minas Gerais.</w:t>
      </w:r>
    </w:p>
    <w:p>
      <w:pPr>
        <w:spacing w:after="200"/>
        <w:jc w:val="both"/>
      </w:pPr>
      <w:r>
        <w:rPr>
          <w:rFonts w:ascii="Calibri" w:hAnsi="Calibri"/>
          <w:b w:val="0"/>
          <w:i w:val="0"/>
          <w:color w:val="1A1A1A"/>
          <w:sz w:val="24"/>
        </w:rPr>
        <w:t>Senhora Autoridade,</w:t>
      </w:r>
    </w:p>
    <w:p>
      <w:pPr>
        <w:spacing w:after="120"/>
        <w:jc w:val="both"/>
      </w:pPr>
      <w:r>
        <w:rPr>
          <w:rFonts w:ascii="Calibri" w:hAnsi="Calibri"/>
          <w:b w:val="0"/>
          <w:i w:val="0"/>
          <w:color w:val="1A1A1A"/>
          <w:sz w:val="24"/>
        </w:rPr>
        <w:t>O Conselho Regional de Odontologia de Minas Gerais, por meio de sua Câmara Técnica de Harmonização Orofacial, desenvolve estudo técnico destinado a orientar cirurgiões-dentistas inscritos quanto à conformidade sanitária de suas atividades, com atenção especial à adequação exigida pela RDC Anvisa nº 1.002, de 15 de dezembro de 2025, cujo prazo se encerra em dezembro de 2026.</w:t>
      </w:r>
    </w:p>
    <w:p>
      <w:pPr>
        <w:spacing w:after="120"/>
        <w:jc w:val="both"/>
      </w:pPr>
      <w:r>
        <w:rPr>
          <w:rFonts w:ascii="Calibri" w:hAnsi="Calibri"/>
          <w:b w:val="0"/>
          <w:i w:val="0"/>
          <w:color w:val="1A1A1A"/>
          <w:sz w:val="24"/>
        </w:rPr>
        <w:t>O estudo mapeou a base normativa federal. Verificou-se, contudo, que parte relevante das exigências práticas incidentes sobre os serviços é fixada em âmbito estadual e municipal. A fim de evitar que o Conselho veicule orientação incompleta ou incorreta a seus inscritos, vimos solicitar as informações relacionadas ao final, ou, alternativamente, a indicação dos atos normativos e documentos oficiais em que constem.</w:t>
      </w:r>
    </w:p>
    <w:p>
      <w:pPr>
        <w:spacing w:after="120"/>
        <w:jc w:val="both"/>
      </w:pPr>
      <w:r>
        <w:rPr>
          <w:rFonts w:ascii="Calibri" w:hAnsi="Calibri"/>
          <w:b w:val="0"/>
          <w:i w:val="0"/>
          <w:color w:val="1A1A1A"/>
          <w:sz w:val="24"/>
        </w:rPr>
        <w:t>Esclarecemos que não se solicita qualquer dado pessoal, dado de paciente ou informação identificável de estabelecimento. O objeto da consulta é exclusivamente normativo e orientativo.</w:t>
      </w:r>
    </w:p>
    <w:p>
      <w:pPr>
        <w:spacing w:after="160"/>
      </w:pPr>
    </w:p>
    <w:p>
      <w:pPr>
        <w:keepNext/>
        <w:spacing w:before="200" w:after="60"/>
        <w:jc w:val="left"/>
      </w:pPr>
      <w:r>
        <w:rPr>
          <w:rFonts w:ascii="Calibri" w:hAnsi="Calibri"/>
          <w:b/>
          <w:color w:val="444A52"/>
          <w:sz w:val="24"/>
        </w:rPr>
        <w:t>Informações solicitadas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366"/>
        <w:gridCol w:w="7706"/>
      </w:tblGrid>
      <w:tr>
        <w:trPr>
          <w:cantSplit/>
          <w:tblHeader/>
        </w:trPr>
        <w:tc>
          <w:tcPr>
            <w:tcW w:type="dxa" w:w="1366"/>
            <w:shd w:val="clear" w:color="auto" w:fill="143C64"/>
          </w:tcPr>
          <w:p>
            <w:pPr>
              <w:spacing w:after="0"/>
              <w:jc w:val="left"/>
            </w:pPr>
            <w:r/>
            <w:r>
              <w:rPr>
                <w:rFonts w:ascii="Calibri" w:hAnsi="Calibri"/>
                <w:b/>
                <w:color w:val="FFFFFF"/>
                <w:sz w:val="24"/>
              </w:rPr>
              <w:t>Nº</w:t>
            </w:r>
          </w:p>
        </w:tc>
        <w:tc>
          <w:tcPr>
            <w:tcW w:type="dxa" w:w="7706"/>
            <w:shd w:val="clear" w:color="auto" w:fill="143C64"/>
          </w:tcPr>
          <w:p>
            <w:pPr>
              <w:spacing w:after="0"/>
              <w:jc w:val="left"/>
            </w:pPr>
            <w:r/>
            <w:r>
              <w:rPr>
                <w:rFonts w:ascii="Calibri" w:hAnsi="Calibri"/>
                <w:b/>
                <w:color w:val="FFFFFF"/>
                <w:sz w:val="24"/>
              </w:rPr>
              <w:t>Informação solicitada</w:t>
            </w:r>
          </w:p>
        </w:tc>
      </w:tr>
      <w:tr>
        <w:trPr>
          <w:cantSplit/>
        </w:trPr>
        <w:tc>
          <w:tcPr>
            <w:tcW w:type="dxa" w:w="1366"/>
          </w:tcPr>
          <w:p>
            <w:pPr>
              <w:spacing w:after="0"/>
              <w:jc w:val="left"/>
            </w:pPr>
            <w:r/>
            <w:r>
              <w:rPr>
                <w:rFonts w:ascii="Calibri" w:hAnsi="Calibri"/>
                <w:b w:val="0"/>
                <w:color w:val="1A1A1A"/>
                <w:sz w:val="24"/>
              </w:rPr>
              <w:t>1</w:t>
            </w:r>
          </w:p>
        </w:tc>
        <w:tc>
          <w:tcPr>
            <w:tcW w:type="dxa" w:w="7706"/>
          </w:tcPr>
          <w:p>
            <w:pPr>
              <w:spacing w:after="0"/>
              <w:jc w:val="left"/>
            </w:pPr>
            <w:r/>
            <w:r>
              <w:rPr>
                <w:rFonts w:ascii="Calibri" w:hAnsi="Calibri"/>
                <w:b w:val="0"/>
                <w:color w:val="1A1A1A"/>
                <w:sz w:val="24"/>
              </w:rPr>
              <w:t>Atos normativos estaduais vigentes que disciplinam o funcionamento de serviços odontológicos em Minas Gerais, com indicação de eventual atualização decorrente da RDC Anvisa nº 1.002/2025.</w:t>
            </w:r>
          </w:p>
        </w:tc>
      </w:tr>
      <w:tr>
        <w:trPr>
          <w:cantSplit/>
        </w:trPr>
        <w:tc>
          <w:tcPr>
            <w:tcW w:type="dxa" w:w="1366"/>
            <w:shd w:val="clear" w:color="auto" w:fill="F2F5F8"/>
          </w:tcPr>
          <w:p>
            <w:pPr>
              <w:spacing w:after="0"/>
              <w:jc w:val="left"/>
            </w:pPr>
            <w:r/>
            <w:r>
              <w:rPr>
                <w:rFonts w:ascii="Calibri" w:hAnsi="Calibri"/>
                <w:b w:val="0"/>
                <w:color w:val="1A1A1A"/>
                <w:sz w:val="24"/>
              </w:rPr>
              <w:t>2</w:t>
            </w:r>
          </w:p>
        </w:tc>
        <w:tc>
          <w:tcPr>
            <w:tcW w:type="dxa" w:w="7706"/>
            <w:shd w:val="clear" w:color="auto" w:fill="F2F5F8"/>
          </w:tcPr>
          <w:p>
            <w:pPr>
              <w:spacing w:after="0"/>
              <w:jc w:val="left"/>
            </w:pPr>
            <w:r/>
            <w:r>
              <w:rPr>
                <w:rFonts w:ascii="Calibri" w:hAnsi="Calibri"/>
                <w:b w:val="0"/>
                <w:color w:val="1A1A1A"/>
                <w:sz w:val="24"/>
              </w:rPr>
              <w:t>Exigências quanto a laudos técnicos periódicos de equipamentos utilizados em serviços odontológicos, incluindo periodicidade, profissional habilitado a emiti-los e forma de guarda.</w:t>
            </w:r>
          </w:p>
        </w:tc>
      </w:tr>
      <w:tr>
        <w:trPr>
          <w:cantSplit/>
        </w:trPr>
        <w:tc>
          <w:tcPr>
            <w:tcW w:type="dxa" w:w="1366"/>
          </w:tcPr>
          <w:p>
            <w:pPr>
              <w:spacing w:after="0"/>
              <w:jc w:val="left"/>
            </w:pPr>
            <w:r/>
            <w:r>
              <w:rPr>
                <w:rFonts w:ascii="Calibri" w:hAnsi="Calibri"/>
                <w:b w:val="0"/>
                <w:color w:val="1A1A1A"/>
                <w:sz w:val="24"/>
              </w:rPr>
              <w:t>3</w:t>
            </w:r>
          </w:p>
        </w:tc>
        <w:tc>
          <w:tcPr>
            <w:tcW w:type="dxa" w:w="7706"/>
          </w:tcPr>
          <w:p>
            <w:pPr>
              <w:spacing w:after="0"/>
              <w:jc w:val="left"/>
            </w:pPr>
            <w:r/>
            <w:r>
              <w:rPr>
                <w:rFonts w:ascii="Calibri" w:hAnsi="Calibri"/>
                <w:b w:val="0"/>
                <w:color w:val="1A1A1A"/>
                <w:sz w:val="24"/>
              </w:rPr>
              <w:t>Exigências quanto a calibração e manutenção preventiva de equipamentos, incluindo periodicidade e comprovação exigida em inspeção.</w:t>
            </w:r>
          </w:p>
        </w:tc>
      </w:tr>
      <w:tr>
        <w:trPr>
          <w:cantSplit/>
        </w:trPr>
        <w:tc>
          <w:tcPr>
            <w:tcW w:type="dxa" w:w="1366"/>
            <w:shd w:val="clear" w:color="auto" w:fill="F2F5F8"/>
          </w:tcPr>
          <w:p>
            <w:pPr>
              <w:spacing w:after="0"/>
              <w:jc w:val="left"/>
            </w:pPr>
            <w:r/>
            <w:r>
              <w:rPr>
                <w:rFonts w:ascii="Calibri" w:hAnsi="Calibri"/>
                <w:b w:val="0"/>
                <w:color w:val="1A1A1A"/>
                <w:sz w:val="24"/>
              </w:rPr>
              <w:t>4</w:t>
            </w:r>
          </w:p>
        </w:tc>
        <w:tc>
          <w:tcPr>
            <w:tcW w:type="dxa" w:w="7706"/>
            <w:shd w:val="clear" w:color="auto" w:fill="F2F5F8"/>
          </w:tcPr>
          <w:p>
            <w:pPr>
              <w:spacing w:after="0"/>
              <w:jc w:val="left"/>
            </w:pPr>
            <w:r/>
            <w:r>
              <w:rPr>
                <w:rFonts w:ascii="Calibri" w:hAnsi="Calibri"/>
                <w:b w:val="0"/>
                <w:color w:val="1A1A1A"/>
                <w:sz w:val="24"/>
              </w:rPr>
              <w:t>Exigências quanto a condições de armazenamento de produtos para saúde utilizados em procedimentos injetáveis, incluindo controle e registro de temperatura, quando aplicável.</w:t>
            </w:r>
          </w:p>
        </w:tc>
      </w:tr>
      <w:tr>
        <w:trPr>
          <w:cantSplit/>
        </w:trPr>
        <w:tc>
          <w:tcPr>
            <w:tcW w:type="dxa" w:w="1366"/>
          </w:tcPr>
          <w:p>
            <w:pPr>
              <w:spacing w:after="0"/>
              <w:jc w:val="left"/>
            </w:pPr>
            <w:r/>
            <w:r>
              <w:rPr>
                <w:rFonts w:ascii="Calibri" w:hAnsi="Calibri"/>
                <w:b w:val="0"/>
                <w:color w:val="1A1A1A"/>
                <w:sz w:val="24"/>
              </w:rPr>
              <w:t>5</w:t>
            </w:r>
          </w:p>
        </w:tc>
        <w:tc>
          <w:tcPr>
            <w:tcW w:type="dxa" w:w="7706"/>
          </w:tcPr>
          <w:p>
            <w:pPr>
              <w:spacing w:after="0"/>
              <w:jc w:val="left"/>
            </w:pPr>
            <w:r/>
            <w:r>
              <w:rPr>
                <w:rFonts w:ascii="Calibri" w:hAnsi="Calibri"/>
                <w:b w:val="0"/>
                <w:color w:val="1A1A1A"/>
                <w:sz w:val="24"/>
              </w:rPr>
              <w:t>Roteiro de inspeção sanitária aplicado a serviços odontológicos no Estado, ou indicação de onde possa ser consultado.</w:t>
            </w:r>
          </w:p>
        </w:tc>
      </w:tr>
      <w:tr>
        <w:trPr>
          <w:cantSplit/>
        </w:trPr>
        <w:tc>
          <w:tcPr>
            <w:tcW w:type="dxa" w:w="1366"/>
            <w:shd w:val="clear" w:color="auto" w:fill="F2F5F8"/>
          </w:tcPr>
          <w:p>
            <w:pPr>
              <w:spacing w:after="0"/>
              <w:jc w:val="left"/>
            </w:pPr>
            <w:r/>
            <w:r>
              <w:rPr>
                <w:rFonts w:ascii="Calibri" w:hAnsi="Calibri"/>
                <w:b w:val="0"/>
                <w:color w:val="1A1A1A"/>
                <w:sz w:val="24"/>
              </w:rPr>
              <w:t>6</w:t>
            </w:r>
          </w:p>
        </w:tc>
        <w:tc>
          <w:tcPr>
            <w:tcW w:type="dxa" w:w="7706"/>
            <w:shd w:val="clear" w:color="auto" w:fill="F2F5F8"/>
          </w:tcPr>
          <w:p>
            <w:pPr>
              <w:spacing w:after="0"/>
              <w:jc w:val="left"/>
            </w:pPr>
            <w:r/>
            <w:r>
              <w:rPr>
                <w:rFonts w:ascii="Calibri" w:hAnsi="Calibri"/>
                <w:b w:val="0"/>
                <w:color w:val="1A1A1A"/>
                <w:sz w:val="24"/>
              </w:rPr>
              <w:t>Orientação quanto à repartição de competências entre a vigilância estadual e as vigilâncias municipais em relação aos itens acima, considerando a variação entre municípios mineiros.</w:t>
            </w:r>
          </w:p>
        </w:tc>
      </w:tr>
      <w:tr>
        <w:trPr>
          <w:cantSplit/>
        </w:trPr>
        <w:tc>
          <w:tcPr>
            <w:tcW w:type="dxa" w:w="1366"/>
          </w:tcPr>
          <w:p>
            <w:pPr>
              <w:spacing w:after="0"/>
              <w:jc w:val="left"/>
            </w:pPr>
            <w:r/>
            <w:r>
              <w:rPr>
                <w:rFonts w:ascii="Calibri" w:hAnsi="Calibri"/>
                <w:b w:val="0"/>
                <w:color w:val="1A1A1A"/>
                <w:sz w:val="24"/>
              </w:rPr>
              <w:t>7</w:t>
            </w:r>
          </w:p>
        </w:tc>
        <w:tc>
          <w:tcPr>
            <w:tcW w:type="dxa" w:w="7706"/>
          </w:tcPr>
          <w:p>
            <w:pPr>
              <w:spacing w:after="0"/>
              <w:jc w:val="left"/>
            </w:pPr>
            <w:r/>
            <w:r>
              <w:rPr>
                <w:rFonts w:ascii="Calibri" w:hAnsi="Calibri"/>
                <w:b w:val="0"/>
                <w:color w:val="1A1A1A"/>
                <w:sz w:val="24"/>
              </w:rPr>
              <w:t>Existência de orientação estadual específica sobre equipamentos de emissão de energia utilizados em procedimentos faciais.</w:t>
            </w:r>
          </w:p>
        </w:tc>
      </w:tr>
      <w:tr>
        <w:trPr>
          <w:cantSplit/>
        </w:trPr>
        <w:tc>
          <w:tcPr>
            <w:tcW w:type="dxa" w:w="1366"/>
            <w:shd w:val="clear" w:color="auto" w:fill="F2F5F8"/>
          </w:tcPr>
          <w:p>
            <w:pPr>
              <w:spacing w:after="0"/>
              <w:jc w:val="left"/>
            </w:pPr>
            <w:r/>
            <w:r>
              <w:rPr>
                <w:rFonts w:ascii="Calibri" w:hAnsi="Calibri"/>
                <w:b w:val="0"/>
                <w:color w:val="1A1A1A"/>
                <w:sz w:val="24"/>
              </w:rPr>
              <w:t>8</w:t>
            </w:r>
          </w:p>
        </w:tc>
        <w:tc>
          <w:tcPr>
            <w:tcW w:type="dxa" w:w="7706"/>
            <w:shd w:val="clear" w:color="auto" w:fill="F2F5F8"/>
          </w:tcPr>
          <w:p>
            <w:pPr>
              <w:spacing w:after="0"/>
              <w:jc w:val="left"/>
            </w:pPr>
            <w:r/>
            <w:r>
              <w:rPr>
                <w:rFonts w:ascii="Calibri" w:hAnsi="Calibri"/>
                <w:b w:val="0"/>
                <w:color w:val="1A1A1A"/>
                <w:sz w:val="24"/>
              </w:rPr>
              <w:t>Canal e forma recomendados para que o Conselho encaminhe consultas técnicas subsequentes decorrentes deste estudo.</w:t>
            </w:r>
          </w:p>
        </w:tc>
      </w:tr>
    </w:tbl>
    <w:p>
      <w:pPr>
        <w:spacing w:after="200"/>
      </w:pPr>
    </w:p>
    <w:p>
      <w:pPr>
        <w:spacing w:after="120"/>
        <w:jc w:val="both"/>
      </w:pPr>
      <w:r>
        <w:rPr>
          <w:rFonts w:ascii="Calibri" w:hAnsi="Calibri"/>
          <w:b w:val="0"/>
          <w:i w:val="0"/>
          <w:color w:val="1A1A1A"/>
          <w:sz w:val="24"/>
        </w:rPr>
        <w:t>As informações prestadas serão utilizadas exclusivamente para fins de orientação técnica aos inscritos, com indicação expressa da fonte e da data da consulta, e serão submetidas à validação institucional antes de qualquer divulgação.</w:t>
      </w:r>
    </w:p>
    <w:p>
      <w:pPr>
        <w:spacing w:after="120"/>
        <w:jc w:val="both"/>
      </w:pPr>
      <w:r>
        <w:rPr>
          <w:rFonts w:ascii="Calibri" w:hAnsi="Calibri"/>
          <w:b w:val="0"/>
          <w:i w:val="0"/>
          <w:color w:val="1A1A1A"/>
          <w:sz w:val="24"/>
        </w:rPr>
        <w:t>Colocamo-nos à disposição para prestar esclarecimentos adicionais e para eventual reunião técnica, caso essa forma se mostre mais adequada.</w:t>
      </w:r>
    </w:p>
    <w:p>
      <w:pPr>
        <w:spacing w:after="360"/>
        <w:jc w:val="both"/>
      </w:pPr>
      <w:r>
        <w:rPr>
          <w:rFonts w:ascii="Calibri" w:hAnsi="Calibri"/>
          <w:b w:val="0"/>
          <w:i w:val="0"/>
          <w:color w:val="1A1A1A"/>
          <w:sz w:val="24"/>
        </w:rPr>
        <w:t>Respeitosamente,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959"/>
        <w:gridCol w:w="4113"/>
      </w:tblGrid>
      <w:tr>
        <w:trPr>
          <w:cantSplit/>
          <w:tblHeader/>
        </w:trPr>
        <w:tc>
          <w:tcPr>
            <w:tcW w:type="dxa" w:w="4959"/>
            <w:shd w:val="clear" w:color="auto" w:fill="143C64"/>
          </w:tcPr>
          <w:p>
            <w:pPr>
              <w:spacing w:after="0"/>
              <w:jc w:val="left"/>
            </w:pPr>
            <w:r/>
            <w:r>
              <w:rPr>
                <w:rFonts w:ascii="Calibri" w:hAnsi="Calibri"/>
                <w:b/>
                <w:color w:val="FFFFFF"/>
                <w:sz w:val="24"/>
              </w:rPr>
              <w:t>Subscrição</w:t>
            </w:r>
          </w:p>
        </w:tc>
        <w:tc>
          <w:tcPr>
            <w:tcW w:type="dxa" w:w="4113"/>
            <w:shd w:val="clear" w:color="auto" w:fill="143C64"/>
          </w:tcPr>
          <w:p>
            <w:pPr>
              <w:spacing w:after="0"/>
              <w:jc w:val="left"/>
            </w:pPr>
            <w:r/>
            <w:r>
              <w:rPr>
                <w:rFonts w:ascii="Calibri" w:hAnsi="Calibri"/>
                <w:b/>
                <w:color w:val="FFFFFF"/>
                <w:sz w:val="24"/>
              </w:rPr>
              <w:t>Registro</w:t>
            </w:r>
          </w:p>
        </w:tc>
      </w:tr>
      <w:tr>
        <w:trPr>
          <w:cantSplit/>
        </w:trPr>
        <w:tc>
          <w:tcPr>
            <w:tcW w:type="dxa" w:w="4959"/>
          </w:tcPr>
          <w:p>
            <w:pPr>
              <w:spacing w:after="0"/>
              <w:jc w:val="left"/>
            </w:pPr>
            <w:r/>
            <w:r>
              <w:rPr>
                <w:rFonts w:ascii="Calibri" w:hAnsi="Calibri"/>
                <w:b w:val="0"/>
                <w:color w:val="1A1A1A"/>
                <w:sz w:val="24"/>
              </w:rPr>
              <w:t>Nome e cargo da autoridade subscritora</w:t>
            </w:r>
          </w:p>
        </w:tc>
        <w:tc>
          <w:tcPr>
            <w:tcW w:type="dxa" w:w="4113"/>
          </w:tcPr>
          <w:p>
            <w:pPr>
              <w:spacing w:after="0"/>
              <w:jc w:val="left"/>
            </w:pPr>
            <w:r/>
            <w:r>
              <w:rPr>
                <w:rFonts w:ascii="Calibri" w:hAnsi="Calibri"/>
                <w:b w:val="0"/>
                <w:color w:val="1A1A1A"/>
                <w:sz w:val="24"/>
              </w:rPr>
            </w:r>
          </w:p>
        </w:tc>
      </w:tr>
      <w:tr>
        <w:trPr>
          <w:cantSplit/>
        </w:trPr>
        <w:tc>
          <w:tcPr>
            <w:tcW w:type="dxa" w:w="4959"/>
            <w:shd w:val="clear" w:color="auto" w:fill="F2F5F8"/>
          </w:tcPr>
          <w:p>
            <w:pPr>
              <w:spacing w:after="0"/>
              <w:jc w:val="left"/>
            </w:pPr>
            <w:r/>
            <w:r>
              <w:rPr>
                <w:rFonts w:ascii="Calibri" w:hAnsi="Calibri"/>
                <w:b w:val="0"/>
                <w:color w:val="1A1A1A"/>
                <w:sz w:val="24"/>
              </w:rPr>
              <w:t>Conselho Regional de Odontologia de Minas Gerais</w:t>
            </w:r>
          </w:p>
        </w:tc>
        <w:tc>
          <w:tcPr>
            <w:tcW w:type="dxa" w:w="4113"/>
            <w:shd w:val="clear" w:color="auto" w:fill="F2F5F8"/>
          </w:tcPr>
          <w:p>
            <w:pPr>
              <w:spacing w:after="0"/>
              <w:jc w:val="left"/>
            </w:pPr>
            <w:r/>
            <w:r>
              <w:rPr>
                <w:rFonts w:ascii="Calibri" w:hAnsi="Calibri"/>
                <w:b w:val="0"/>
                <w:color w:val="1A1A1A"/>
                <w:sz w:val="24"/>
              </w:rPr>
            </w:r>
          </w:p>
        </w:tc>
      </w:tr>
      <w:tr>
        <w:trPr>
          <w:cantSplit/>
        </w:trPr>
        <w:tc>
          <w:tcPr>
            <w:tcW w:type="dxa" w:w="4959"/>
          </w:tcPr>
          <w:p>
            <w:pPr>
              <w:spacing w:after="0"/>
              <w:jc w:val="left"/>
            </w:pPr>
            <w:r/>
            <w:r>
              <w:rPr>
                <w:rFonts w:ascii="Calibri" w:hAnsi="Calibri"/>
                <w:b w:val="0"/>
                <w:color w:val="1A1A1A"/>
                <w:sz w:val="24"/>
              </w:rPr>
              <w:t>Local, data e assinatura</w:t>
            </w:r>
          </w:p>
        </w:tc>
        <w:tc>
          <w:tcPr>
            <w:tcW w:type="dxa" w:w="4113"/>
          </w:tcPr>
          <w:p>
            <w:pPr>
              <w:spacing w:after="0"/>
              <w:jc w:val="left"/>
            </w:pPr>
            <w:r/>
            <w:r>
              <w:rPr>
                <w:rFonts w:ascii="Calibri" w:hAnsi="Calibri"/>
                <w:b w:val="0"/>
                <w:color w:val="1A1A1A"/>
                <w:sz w:val="24"/>
              </w:rPr>
            </w:r>
          </w:p>
        </w:tc>
      </w:tr>
    </w:tbl>
    <w:p>
      <w:r>
        <w:br w:type="page"/>
      </w:r>
    </w:p>
    <w:p>
      <w:pPr>
        <w:keepNext/>
        <w:spacing w:before="360" w:after="160"/>
        <w:jc w:val="left"/>
        <w:pBdr>
          <w:bottom w:val="single" w:sz="8" w:space="4" w:color="143C64"/>
        </w:pBdr>
      </w:pPr>
      <w:r>
        <w:rPr>
          <w:rFonts w:ascii="Calibri" w:hAnsi="Calibri"/>
          <w:b/>
          <w:color w:val="143C64"/>
          <w:sz w:val="30"/>
        </w:rPr>
        <w:t>Anexo II. Minuta de ofício interno ao CRO-MG</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187"/>
        <w:gridCol w:w="4885"/>
      </w:tblGrid>
      <w:tr>
        <w:trPr>
          <w:cantSplit/>
          <w:tblHeader/>
        </w:trPr>
        <w:tc>
          <w:tcPr>
            <w:tcW w:type="dxa" w:w="4187"/>
            <w:shd w:val="clear" w:color="auto" w:fill="143C64"/>
          </w:tcPr>
          <w:p>
            <w:pPr>
              <w:spacing w:after="0"/>
              <w:jc w:val="left"/>
            </w:pPr>
            <w:r/>
            <w:r>
              <w:rPr>
                <w:rFonts w:ascii="Calibri" w:hAnsi="Calibri"/>
                <w:b/>
                <w:color w:val="FFFFFF"/>
                <w:sz w:val="24"/>
              </w:rPr>
              <w:t>Campo</w:t>
            </w:r>
          </w:p>
        </w:tc>
        <w:tc>
          <w:tcPr>
            <w:tcW w:type="dxa" w:w="4885"/>
            <w:shd w:val="clear" w:color="auto" w:fill="143C64"/>
          </w:tcPr>
          <w:p>
            <w:pPr>
              <w:spacing w:after="0"/>
              <w:jc w:val="left"/>
            </w:pPr>
            <w:r/>
            <w:r>
              <w:rPr>
                <w:rFonts w:ascii="Calibri" w:hAnsi="Calibri"/>
                <w:b/>
                <w:color w:val="FFFFFF"/>
                <w:sz w:val="24"/>
              </w:rPr>
              <w:t>Preenchimento pela Secretaria</w:t>
            </w:r>
          </w:p>
        </w:tc>
      </w:tr>
      <w:tr>
        <w:trPr>
          <w:cantSplit/>
        </w:trPr>
        <w:tc>
          <w:tcPr>
            <w:tcW w:type="dxa" w:w="4187"/>
          </w:tcPr>
          <w:p>
            <w:pPr>
              <w:spacing w:after="0"/>
              <w:jc w:val="left"/>
            </w:pPr>
            <w:r/>
            <w:r>
              <w:rPr>
                <w:rFonts w:ascii="Calibri" w:hAnsi="Calibri"/>
                <w:b w:val="0"/>
                <w:color w:val="1A1A1A"/>
                <w:sz w:val="24"/>
              </w:rPr>
              <w:t>Expediente nº</w:t>
            </w:r>
          </w:p>
        </w:tc>
        <w:tc>
          <w:tcPr>
            <w:tcW w:type="dxa" w:w="4885"/>
          </w:tcPr>
          <w:p>
            <w:pPr>
              <w:spacing w:after="0"/>
              <w:jc w:val="left"/>
            </w:pPr>
            <w:r/>
            <w:r>
              <w:rPr>
                <w:rFonts w:ascii="Calibri" w:hAnsi="Calibri"/>
                <w:b w:val="0"/>
                <w:color w:val="1A1A1A"/>
                <w:sz w:val="24"/>
              </w:rPr>
            </w:r>
          </w:p>
        </w:tc>
      </w:tr>
      <w:tr>
        <w:trPr>
          <w:cantSplit/>
        </w:trPr>
        <w:tc>
          <w:tcPr>
            <w:tcW w:type="dxa" w:w="4187"/>
            <w:shd w:val="clear" w:color="auto" w:fill="F2F5F8"/>
          </w:tcPr>
          <w:p>
            <w:pPr>
              <w:spacing w:after="0"/>
              <w:jc w:val="left"/>
            </w:pPr>
            <w:r/>
            <w:r>
              <w:rPr>
                <w:rFonts w:ascii="Calibri" w:hAnsi="Calibri"/>
                <w:b w:val="0"/>
                <w:color w:val="1A1A1A"/>
                <w:sz w:val="24"/>
              </w:rPr>
              <w:t>Data</w:t>
            </w:r>
          </w:p>
        </w:tc>
        <w:tc>
          <w:tcPr>
            <w:tcW w:type="dxa" w:w="4885"/>
            <w:shd w:val="clear" w:color="auto" w:fill="F2F5F8"/>
          </w:tcPr>
          <w:p>
            <w:pPr>
              <w:spacing w:after="0"/>
              <w:jc w:val="left"/>
            </w:pPr>
            <w:r/>
            <w:r>
              <w:rPr>
                <w:rFonts w:ascii="Calibri" w:hAnsi="Calibri"/>
                <w:b w:val="0"/>
                <w:color w:val="1A1A1A"/>
                <w:sz w:val="24"/>
              </w:rPr>
            </w:r>
          </w:p>
        </w:tc>
      </w:tr>
      <w:tr>
        <w:trPr>
          <w:cantSplit/>
        </w:trPr>
        <w:tc>
          <w:tcPr>
            <w:tcW w:type="dxa" w:w="4187"/>
          </w:tcPr>
          <w:p>
            <w:pPr>
              <w:spacing w:after="0"/>
              <w:jc w:val="left"/>
            </w:pPr>
            <w:r/>
            <w:r>
              <w:rPr>
                <w:rFonts w:ascii="Calibri" w:hAnsi="Calibri"/>
                <w:b w:val="0"/>
                <w:color w:val="1A1A1A"/>
                <w:sz w:val="24"/>
              </w:rPr>
              <w:t>Destinatário (órgão interno e cargo)</w:t>
            </w:r>
          </w:p>
        </w:tc>
        <w:tc>
          <w:tcPr>
            <w:tcW w:type="dxa" w:w="4885"/>
          </w:tcPr>
          <w:p>
            <w:pPr>
              <w:spacing w:after="0"/>
              <w:jc w:val="left"/>
            </w:pPr>
            <w:r/>
            <w:r>
              <w:rPr>
                <w:rFonts w:ascii="Calibri" w:hAnsi="Calibri"/>
                <w:b w:val="0"/>
                <w:color w:val="1A1A1A"/>
                <w:sz w:val="24"/>
              </w:rPr>
            </w:r>
          </w:p>
        </w:tc>
      </w:tr>
      <w:tr>
        <w:trPr>
          <w:cantSplit/>
        </w:trPr>
        <w:tc>
          <w:tcPr>
            <w:tcW w:type="dxa" w:w="4187"/>
            <w:shd w:val="clear" w:color="auto" w:fill="F2F5F8"/>
          </w:tcPr>
          <w:p>
            <w:pPr>
              <w:spacing w:after="0"/>
              <w:jc w:val="left"/>
            </w:pPr>
            <w:r/>
            <w:r>
              <w:rPr>
                <w:rFonts w:ascii="Calibri" w:hAnsi="Calibri"/>
                <w:b w:val="0"/>
                <w:color w:val="1A1A1A"/>
                <w:sz w:val="24"/>
              </w:rPr>
              <w:t>Referência interna</w:t>
            </w:r>
          </w:p>
        </w:tc>
        <w:tc>
          <w:tcPr>
            <w:tcW w:type="dxa" w:w="4885"/>
            <w:shd w:val="clear" w:color="auto" w:fill="F2F5F8"/>
          </w:tcPr>
          <w:p>
            <w:pPr>
              <w:spacing w:after="0"/>
              <w:jc w:val="left"/>
            </w:pPr>
            <w:r/>
            <w:r>
              <w:rPr>
                <w:rFonts w:ascii="Calibri" w:hAnsi="Calibri"/>
                <w:b w:val="0"/>
                <w:color w:val="1A1A1A"/>
                <w:sz w:val="24"/>
              </w:rPr>
            </w:r>
          </w:p>
        </w:tc>
      </w:tr>
    </w:tbl>
    <w:p>
      <w:pPr>
        <w:spacing w:after="240"/>
      </w:pPr>
    </w:p>
    <w:p>
      <w:pPr>
        <w:spacing w:after="240"/>
        <w:jc w:val="both"/>
      </w:pPr>
      <w:r>
        <w:rPr>
          <w:rFonts w:ascii="Calibri" w:hAnsi="Calibri"/>
          <w:b/>
          <w:i w:val="0"/>
          <w:color w:val="1A1A1A"/>
          <w:sz w:val="24"/>
        </w:rPr>
        <w:t>Assunto: solicitação de dados agregados e não identificáveis sobre processos éticos relacionados a procedimentos de harmonização orofacial, para composição de linha de base do Núcleo 5.</w:t>
      </w:r>
    </w:p>
    <w:p>
      <w:pPr>
        <w:spacing w:after="200"/>
        <w:jc w:val="both"/>
      </w:pPr>
      <w:r>
        <w:rPr>
          <w:rFonts w:ascii="Calibri" w:hAnsi="Calibri"/>
          <w:b w:val="0"/>
          <w:i w:val="0"/>
          <w:color w:val="1A1A1A"/>
          <w:sz w:val="24"/>
        </w:rPr>
        <w:t>Senhor Responsável,</w:t>
      </w:r>
    </w:p>
    <w:p>
      <w:pPr>
        <w:spacing w:after="120"/>
        <w:jc w:val="both"/>
      </w:pPr>
      <w:r>
        <w:rPr>
          <w:rFonts w:ascii="Calibri" w:hAnsi="Calibri"/>
          <w:b w:val="0"/>
          <w:i w:val="0"/>
          <w:color w:val="1A1A1A"/>
          <w:sz w:val="24"/>
        </w:rPr>
        <w:t>O Núcleo 5 da Câmara Técnica de Harmonização Orofacial executa, no ciclo 2026, levantamento destinado a identificar padrões de risco e lacunas documentais associados a procedimentos de harmonização orofacial, conforme protocolo constante do documento N5-PROT-01.</w:t>
      </w:r>
    </w:p>
    <w:p>
      <w:pPr>
        <w:spacing w:after="120"/>
        <w:jc w:val="both"/>
      </w:pPr>
      <w:r>
        <w:rPr>
          <w:rFonts w:ascii="Calibri" w:hAnsi="Calibri"/>
          <w:b w:val="0"/>
          <w:i w:val="0"/>
          <w:color w:val="1A1A1A"/>
          <w:sz w:val="24"/>
        </w:rPr>
        <w:t>O levantamento tem finalidade exclusivamente preventiva e educativa. Seu produto é a identificação de oportunidades de prevenção e de melhoria documental, e não a avaliação, classificação ou exposição de casos ou de profissionais.</w:t>
      </w:r>
    </w:p>
    <w:p>
      <w:pPr>
        <w:keepNext/>
        <w:spacing w:before="200" w:after="60"/>
        <w:jc w:val="left"/>
      </w:pPr>
      <w:r>
        <w:rPr>
          <w:rFonts w:ascii="Calibri" w:hAnsi="Calibri"/>
          <w:b/>
          <w:color w:val="444A52"/>
          <w:sz w:val="24"/>
        </w:rPr>
        <w:t>Delimitação expressa do pedido</w:t>
      </w:r>
    </w:p>
    <w:p>
      <w:pPr>
        <w:pStyle w:val="ListBullet"/>
        <w:spacing w:after="60"/>
        <w:ind w:left="397"/>
        <w:jc w:val="both"/>
      </w:pPr>
      <w:r>
        <w:rPr>
          <w:rFonts w:ascii="Calibri" w:hAnsi="Calibri"/>
          <w:color w:val="1A1A1A"/>
          <w:sz w:val="24"/>
        </w:rPr>
        <w:t>Não se solicita identificação de profissionais, de pacientes, de estabelecimentos ou de processos individualizados.</w:t>
      </w:r>
    </w:p>
    <w:p>
      <w:pPr>
        <w:pStyle w:val="ListBullet"/>
        <w:spacing w:after="60"/>
        <w:ind w:left="397"/>
        <w:jc w:val="both"/>
      </w:pPr>
      <w:r>
        <w:rPr>
          <w:rFonts w:ascii="Calibri" w:hAnsi="Calibri"/>
          <w:color w:val="1A1A1A"/>
          <w:sz w:val="24"/>
        </w:rPr>
        <w:t>Não se solicita acesso a autos, peças processuais ou decisões.</w:t>
      </w:r>
    </w:p>
    <w:p>
      <w:pPr>
        <w:pStyle w:val="ListBullet"/>
        <w:spacing w:after="60"/>
        <w:ind w:left="397"/>
        <w:jc w:val="both"/>
      </w:pPr>
      <w:r>
        <w:rPr>
          <w:rFonts w:ascii="Calibri" w:hAnsi="Calibri"/>
          <w:color w:val="1A1A1A"/>
          <w:sz w:val="24"/>
        </w:rPr>
        <w:t>Solicitam-se exclusivamente dados agregados, em quantitativo, sem qualquer elemento que permita reidentificação.</w:t>
      </w:r>
    </w:p>
    <w:p>
      <w:pPr>
        <w:pStyle w:val="ListBullet"/>
        <w:spacing w:after="60"/>
        <w:ind w:left="397"/>
        <w:jc w:val="both"/>
      </w:pPr>
      <w:r>
        <w:rPr>
          <w:rFonts w:ascii="Calibri" w:hAnsi="Calibri"/>
          <w:color w:val="1A1A1A"/>
          <w:sz w:val="24"/>
        </w:rPr>
        <w:t>Caso o volume de casos em alguma categoria seja tão reduzido que a agregação não impeça a identificação, solicita-se a supressão da categoria, e não sua divulgação.</w:t>
      </w:r>
    </w:p>
    <w:p>
      <w:pPr>
        <w:spacing w:after="160"/>
      </w:pPr>
    </w:p>
    <w:p>
      <w:pPr>
        <w:keepNext/>
        <w:spacing w:before="200" w:after="60"/>
        <w:jc w:val="left"/>
      </w:pPr>
      <w:r>
        <w:rPr>
          <w:rFonts w:ascii="Calibri" w:hAnsi="Calibri"/>
          <w:b/>
          <w:color w:val="444A52"/>
          <w:sz w:val="24"/>
        </w:rPr>
        <w:t>Dados solicitados, em formato agregado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271"/>
        <w:gridCol w:w="7801"/>
      </w:tblGrid>
      <w:tr>
        <w:trPr>
          <w:cantSplit/>
          <w:tblHeader/>
        </w:trPr>
        <w:tc>
          <w:tcPr>
            <w:tcW w:type="dxa" w:w="1271"/>
            <w:shd w:val="clear" w:color="auto" w:fill="143C64"/>
          </w:tcPr>
          <w:p>
            <w:pPr>
              <w:spacing w:after="0"/>
              <w:jc w:val="left"/>
            </w:pPr>
            <w:r/>
            <w:r>
              <w:rPr>
                <w:rFonts w:ascii="Calibri" w:hAnsi="Calibri"/>
                <w:b/>
                <w:color w:val="FFFFFF"/>
                <w:sz w:val="24"/>
              </w:rPr>
              <w:t>Nº</w:t>
            </w:r>
          </w:p>
        </w:tc>
        <w:tc>
          <w:tcPr>
            <w:tcW w:type="dxa" w:w="7801"/>
            <w:shd w:val="clear" w:color="auto" w:fill="143C64"/>
          </w:tcPr>
          <w:p>
            <w:pPr>
              <w:spacing w:after="0"/>
              <w:jc w:val="left"/>
            </w:pPr>
            <w:r/>
            <w:r>
              <w:rPr>
                <w:rFonts w:ascii="Calibri" w:hAnsi="Calibri"/>
                <w:b/>
                <w:color w:val="FFFFFF"/>
                <w:sz w:val="24"/>
              </w:rPr>
              <w:t>Dado solicitado</w:t>
            </w:r>
          </w:p>
        </w:tc>
      </w:tr>
      <w:tr>
        <w:trPr>
          <w:cantSplit/>
        </w:trPr>
        <w:tc>
          <w:tcPr>
            <w:tcW w:type="dxa" w:w="1271"/>
          </w:tcPr>
          <w:p>
            <w:pPr>
              <w:spacing w:after="0"/>
              <w:jc w:val="left"/>
            </w:pPr>
            <w:r/>
            <w:r>
              <w:rPr>
                <w:rFonts w:ascii="Calibri" w:hAnsi="Calibri"/>
                <w:b w:val="0"/>
                <w:color w:val="1A1A1A"/>
                <w:sz w:val="24"/>
              </w:rPr>
              <w:t>1</w:t>
            </w:r>
          </w:p>
        </w:tc>
        <w:tc>
          <w:tcPr>
            <w:tcW w:type="dxa" w:w="7801"/>
          </w:tcPr>
          <w:p>
            <w:pPr>
              <w:spacing w:after="0"/>
              <w:jc w:val="left"/>
            </w:pPr>
            <w:r/>
            <w:r>
              <w:rPr>
                <w:rFonts w:ascii="Calibri" w:hAnsi="Calibri"/>
                <w:b w:val="0"/>
                <w:color w:val="1A1A1A"/>
                <w:sz w:val="24"/>
              </w:rPr>
              <w:t>Quantitativo de processos éticos instaurados relacionados a procedimentos de harmonização orofacial, por ano, nos últimos cinco anos.</w:t>
            </w:r>
          </w:p>
        </w:tc>
      </w:tr>
      <w:tr>
        <w:trPr>
          <w:cantSplit/>
        </w:trPr>
        <w:tc>
          <w:tcPr>
            <w:tcW w:type="dxa" w:w="1271"/>
            <w:shd w:val="clear" w:color="auto" w:fill="F2F5F8"/>
          </w:tcPr>
          <w:p>
            <w:pPr>
              <w:spacing w:after="0"/>
              <w:jc w:val="left"/>
            </w:pPr>
            <w:r/>
            <w:r>
              <w:rPr>
                <w:rFonts w:ascii="Calibri" w:hAnsi="Calibri"/>
                <w:b w:val="0"/>
                <w:color w:val="1A1A1A"/>
                <w:sz w:val="24"/>
              </w:rPr>
              <w:t>2</w:t>
            </w:r>
          </w:p>
        </w:tc>
        <w:tc>
          <w:tcPr>
            <w:tcW w:type="dxa" w:w="7801"/>
            <w:shd w:val="clear" w:color="auto" w:fill="F2F5F8"/>
          </w:tcPr>
          <w:p>
            <w:pPr>
              <w:spacing w:after="0"/>
              <w:jc w:val="left"/>
            </w:pPr>
            <w:r/>
            <w:r>
              <w:rPr>
                <w:rFonts w:ascii="Calibri" w:hAnsi="Calibri"/>
                <w:b w:val="0"/>
                <w:color w:val="1A1A1A"/>
                <w:sz w:val="24"/>
              </w:rPr>
              <w:t>Distribuição por natureza da alegação, em categorias amplas, tais como resultado insatisfatório, intercorrência clínica, falha documental, publicidade e habilitação.</w:t>
            </w:r>
          </w:p>
        </w:tc>
      </w:tr>
      <w:tr>
        <w:trPr>
          <w:cantSplit/>
        </w:trPr>
        <w:tc>
          <w:tcPr>
            <w:tcW w:type="dxa" w:w="1271"/>
          </w:tcPr>
          <w:p>
            <w:pPr>
              <w:spacing w:after="0"/>
              <w:jc w:val="left"/>
            </w:pPr>
            <w:r/>
            <w:r>
              <w:rPr>
                <w:rFonts w:ascii="Calibri" w:hAnsi="Calibri"/>
                <w:b w:val="0"/>
                <w:color w:val="1A1A1A"/>
                <w:sz w:val="24"/>
              </w:rPr>
              <w:t>3</w:t>
            </w:r>
          </w:p>
        </w:tc>
        <w:tc>
          <w:tcPr>
            <w:tcW w:type="dxa" w:w="7801"/>
          </w:tcPr>
          <w:p>
            <w:pPr>
              <w:spacing w:after="0"/>
              <w:jc w:val="left"/>
            </w:pPr>
            <w:r/>
            <w:r>
              <w:rPr>
                <w:rFonts w:ascii="Calibri" w:hAnsi="Calibri"/>
                <w:b w:val="0"/>
                <w:color w:val="1A1A1A"/>
                <w:sz w:val="24"/>
              </w:rPr>
              <w:t>Quantitativo em que a existência ou a qualidade do registro em prontuário tenha sido elemento relevante da instrução.</w:t>
            </w:r>
          </w:p>
        </w:tc>
      </w:tr>
      <w:tr>
        <w:trPr>
          <w:cantSplit/>
        </w:trPr>
        <w:tc>
          <w:tcPr>
            <w:tcW w:type="dxa" w:w="1271"/>
            <w:shd w:val="clear" w:color="auto" w:fill="F2F5F8"/>
          </w:tcPr>
          <w:p>
            <w:pPr>
              <w:spacing w:after="0"/>
              <w:jc w:val="left"/>
            </w:pPr>
            <w:r/>
            <w:r>
              <w:rPr>
                <w:rFonts w:ascii="Calibri" w:hAnsi="Calibri"/>
                <w:b w:val="0"/>
                <w:color w:val="1A1A1A"/>
                <w:sz w:val="24"/>
              </w:rPr>
              <w:t>4</w:t>
            </w:r>
          </w:p>
        </w:tc>
        <w:tc>
          <w:tcPr>
            <w:tcW w:type="dxa" w:w="7801"/>
            <w:shd w:val="clear" w:color="auto" w:fill="F2F5F8"/>
          </w:tcPr>
          <w:p>
            <w:pPr>
              <w:spacing w:after="0"/>
              <w:jc w:val="left"/>
            </w:pPr>
            <w:r/>
            <w:r>
              <w:rPr>
                <w:rFonts w:ascii="Calibri" w:hAnsi="Calibri"/>
                <w:b w:val="0"/>
                <w:color w:val="1A1A1A"/>
                <w:sz w:val="24"/>
              </w:rPr>
              <w:t>Quantitativo em que o termo de consentimento tenha sido elemento relevante da instrução.</w:t>
            </w:r>
          </w:p>
        </w:tc>
      </w:tr>
      <w:tr>
        <w:trPr>
          <w:cantSplit/>
        </w:trPr>
        <w:tc>
          <w:tcPr>
            <w:tcW w:type="dxa" w:w="1271"/>
          </w:tcPr>
          <w:p>
            <w:pPr>
              <w:spacing w:after="0"/>
              <w:jc w:val="left"/>
            </w:pPr>
            <w:r/>
            <w:r>
              <w:rPr>
                <w:rFonts w:ascii="Calibri" w:hAnsi="Calibri"/>
                <w:b w:val="0"/>
                <w:color w:val="1A1A1A"/>
                <w:sz w:val="24"/>
              </w:rPr>
              <w:t>5</w:t>
            </w:r>
          </w:p>
        </w:tc>
        <w:tc>
          <w:tcPr>
            <w:tcW w:type="dxa" w:w="7801"/>
          </w:tcPr>
          <w:p>
            <w:pPr>
              <w:spacing w:after="0"/>
              <w:jc w:val="left"/>
            </w:pPr>
            <w:r/>
            <w:r>
              <w:rPr>
                <w:rFonts w:ascii="Calibri" w:hAnsi="Calibri"/>
                <w:b w:val="0"/>
                <w:color w:val="1A1A1A"/>
                <w:sz w:val="24"/>
              </w:rPr>
              <w:t>Quantitativo por tipo de procedimento envolvido, em categorias amplas, tais como injetáveis, bioestimuladores, equipamentos de energia e procedimentos cirúrgicos.</w:t>
            </w:r>
          </w:p>
        </w:tc>
      </w:tr>
      <w:tr>
        <w:trPr>
          <w:cantSplit/>
        </w:trPr>
        <w:tc>
          <w:tcPr>
            <w:tcW w:type="dxa" w:w="1271"/>
            <w:shd w:val="clear" w:color="auto" w:fill="F2F5F8"/>
          </w:tcPr>
          <w:p>
            <w:pPr>
              <w:spacing w:after="0"/>
              <w:jc w:val="left"/>
            </w:pPr>
            <w:r/>
            <w:r>
              <w:rPr>
                <w:rFonts w:ascii="Calibri" w:hAnsi="Calibri"/>
                <w:b w:val="0"/>
                <w:color w:val="1A1A1A"/>
                <w:sz w:val="24"/>
              </w:rPr>
              <w:t>6</w:t>
            </w:r>
          </w:p>
        </w:tc>
        <w:tc>
          <w:tcPr>
            <w:tcW w:type="dxa" w:w="7801"/>
            <w:shd w:val="clear" w:color="auto" w:fill="F2F5F8"/>
          </w:tcPr>
          <w:p>
            <w:pPr>
              <w:spacing w:after="0"/>
              <w:jc w:val="left"/>
            </w:pPr>
            <w:r/>
            <w:r>
              <w:rPr>
                <w:rFonts w:ascii="Calibri" w:hAnsi="Calibri"/>
                <w:b w:val="0"/>
                <w:color w:val="1A1A1A"/>
                <w:sz w:val="24"/>
              </w:rPr>
              <w:t>Quantitativo de denúncias relativas a publicidade em harmonização orofacial.</w:t>
            </w:r>
          </w:p>
        </w:tc>
      </w:tr>
      <w:tr>
        <w:trPr>
          <w:cantSplit/>
        </w:trPr>
        <w:tc>
          <w:tcPr>
            <w:tcW w:type="dxa" w:w="1271"/>
          </w:tcPr>
          <w:p>
            <w:pPr>
              <w:spacing w:after="0"/>
              <w:jc w:val="left"/>
            </w:pPr>
            <w:r/>
            <w:r>
              <w:rPr>
                <w:rFonts w:ascii="Calibri" w:hAnsi="Calibri"/>
                <w:b w:val="0"/>
                <w:color w:val="1A1A1A"/>
                <w:sz w:val="24"/>
              </w:rPr>
              <w:t>7</w:t>
            </w:r>
          </w:p>
        </w:tc>
        <w:tc>
          <w:tcPr>
            <w:tcW w:type="dxa" w:w="7801"/>
          </w:tcPr>
          <w:p>
            <w:pPr>
              <w:spacing w:after="0"/>
              <w:jc w:val="left"/>
            </w:pPr>
            <w:r/>
            <w:r>
              <w:rPr>
                <w:rFonts w:ascii="Calibri" w:hAnsi="Calibri"/>
                <w:b w:val="0"/>
                <w:color w:val="1A1A1A"/>
                <w:sz w:val="24"/>
              </w:rPr>
              <w:t>Indicação de eventual impossibilidade técnica de extração de qualquer dos itens acima, com a respectiva razão.</w:t>
            </w:r>
          </w:p>
        </w:tc>
      </w:tr>
    </w:tbl>
    <w:p>
      <w:pPr>
        <w:spacing w:after="200"/>
      </w:pPr>
    </w:p>
    <w:p>
      <w:pPr>
        <w:spacing w:after="120"/>
        <w:jc w:val="both"/>
      </w:pPr>
      <w:r>
        <w:rPr>
          <w:rFonts w:ascii="Calibri" w:hAnsi="Calibri"/>
          <w:b w:val="0"/>
          <w:i w:val="0"/>
          <w:color w:val="1A1A1A"/>
          <w:sz w:val="24"/>
        </w:rPr>
        <w:t>Solicita-se, ainda, orientação sobre a necessidade de submissão do levantamento a instância de aprovação institucional ou ética, e sobre a forma adequada de citação da fonte no produto final.</w:t>
      </w:r>
    </w:p>
    <w:p>
      <w:pPr>
        <w:spacing w:after="360"/>
        <w:jc w:val="both"/>
      </w:pPr>
      <w:r>
        <w:rPr>
          <w:rFonts w:ascii="Calibri" w:hAnsi="Calibri"/>
          <w:b w:val="0"/>
          <w:i w:val="0"/>
          <w:color w:val="1A1A1A"/>
          <w:sz w:val="24"/>
        </w:rPr>
        <w:t>Respeitosamente,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959"/>
        <w:gridCol w:w="4113"/>
      </w:tblGrid>
      <w:tr>
        <w:trPr>
          <w:cantSplit/>
          <w:tblHeader/>
        </w:trPr>
        <w:tc>
          <w:tcPr>
            <w:tcW w:type="dxa" w:w="4959"/>
            <w:shd w:val="clear" w:color="auto" w:fill="143C64"/>
          </w:tcPr>
          <w:p>
            <w:pPr>
              <w:spacing w:after="0"/>
              <w:jc w:val="left"/>
            </w:pPr>
            <w:r/>
            <w:r>
              <w:rPr>
                <w:rFonts w:ascii="Calibri" w:hAnsi="Calibri"/>
                <w:b/>
                <w:color w:val="FFFFFF"/>
                <w:sz w:val="24"/>
              </w:rPr>
              <w:t>Subscrição</w:t>
            </w:r>
          </w:p>
        </w:tc>
        <w:tc>
          <w:tcPr>
            <w:tcW w:type="dxa" w:w="4113"/>
            <w:shd w:val="clear" w:color="auto" w:fill="143C64"/>
          </w:tcPr>
          <w:p>
            <w:pPr>
              <w:spacing w:after="0"/>
              <w:jc w:val="left"/>
            </w:pPr>
            <w:r/>
            <w:r>
              <w:rPr>
                <w:rFonts w:ascii="Calibri" w:hAnsi="Calibri"/>
                <w:b/>
                <w:color w:val="FFFFFF"/>
                <w:sz w:val="24"/>
              </w:rPr>
              <w:t>Registro</w:t>
            </w:r>
          </w:p>
        </w:tc>
      </w:tr>
      <w:tr>
        <w:trPr>
          <w:cantSplit/>
        </w:trPr>
        <w:tc>
          <w:tcPr>
            <w:tcW w:type="dxa" w:w="4959"/>
          </w:tcPr>
          <w:p>
            <w:pPr>
              <w:spacing w:after="0"/>
              <w:jc w:val="left"/>
            </w:pPr>
            <w:r/>
            <w:r>
              <w:rPr>
                <w:rFonts w:ascii="Calibri" w:hAnsi="Calibri"/>
                <w:b w:val="0"/>
                <w:color w:val="1A1A1A"/>
                <w:sz w:val="24"/>
              </w:rPr>
              <w:t>Nome e cargo da autoridade subscritora</w:t>
            </w:r>
          </w:p>
        </w:tc>
        <w:tc>
          <w:tcPr>
            <w:tcW w:type="dxa" w:w="4113"/>
          </w:tcPr>
          <w:p>
            <w:pPr>
              <w:spacing w:after="0"/>
              <w:jc w:val="left"/>
            </w:pPr>
            <w:r/>
            <w:r>
              <w:rPr>
                <w:rFonts w:ascii="Calibri" w:hAnsi="Calibri"/>
                <w:b w:val="0"/>
                <w:color w:val="1A1A1A"/>
                <w:sz w:val="24"/>
              </w:rPr>
            </w:r>
          </w:p>
        </w:tc>
      </w:tr>
      <w:tr>
        <w:trPr>
          <w:cantSplit/>
        </w:trPr>
        <w:tc>
          <w:tcPr>
            <w:tcW w:type="dxa" w:w="4959"/>
            <w:shd w:val="clear" w:color="auto" w:fill="F2F5F8"/>
          </w:tcPr>
          <w:p>
            <w:pPr>
              <w:spacing w:after="0"/>
              <w:jc w:val="left"/>
            </w:pPr>
            <w:r/>
            <w:r>
              <w:rPr>
                <w:rFonts w:ascii="Calibri" w:hAnsi="Calibri"/>
                <w:b w:val="0"/>
                <w:color w:val="1A1A1A"/>
                <w:sz w:val="24"/>
              </w:rPr>
              <w:t>Conselho Regional de Odontologia de Minas Gerais</w:t>
            </w:r>
          </w:p>
        </w:tc>
        <w:tc>
          <w:tcPr>
            <w:tcW w:type="dxa" w:w="4113"/>
            <w:shd w:val="clear" w:color="auto" w:fill="F2F5F8"/>
          </w:tcPr>
          <w:p>
            <w:pPr>
              <w:spacing w:after="0"/>
              <w:jc w:val="left"/>
            </w:pPr>
            <w:r/>
            <w:r>
              <w:rPr>
                <w:rFonts w:ascii="Calibri" w:hAnsi="Calibri"/>
                <w:b w:val="0"/>
                <w:color w:val="1A1A1A"/>
                <w:sz w:val="24"/>
              </w:rPr>
            </w:r>
          </w:p>
        </w:tc>
      </w:tr>
      <w:tr>
        <w:trPr>
          <w:cantSplit/>
        </w:trPr>
        <w:tc>
          <w:tcPr>
            <w:tcW w:type="dxa" w:w="4959"/>
          </w:tcPr>
          <w:p>
            <w:pPr>
              <w:spacing w:after="0"/>
              <w:jc w:val="left"/>
            </w:pPr>
            <w:r/>
            <w:r>
              <w:rPr>
                <w:rFonts w:ascii="Calibri" w:hAnsi="Calibri"/>
                <w:b w:val="0"/>
                <w:color w:val="1A1A1A"/>
                <w:sz w:val="24"/>
              </w:rPr>
              <w:t>Local, data e assinatura</w:t>
            </w:r>
          </w:p>
        </w:tc>
        <w:tc>
          <w:tcPr>
            <w:tcW w:type="dxa" w:w="4113"/>
          </w:tcPr>
          <w:p>
            <w:pPr>
              <w:spacing w:after="0"/>
              <w:jc w:val="left"/>
            </w:pPr>
            <w:r/>
            <w:r>
              <w:rPr>
                <w:rFonts w:ascii="Calibri" w:hAnsi="Calibri"/>
                <w:b w:val="0"/>
                <w:color w:val="1A1A1A"/>
                <w:sz w:val="24"/>
              </w:rPr>
            </w:r>
          </w:p>
        </w:tc>
      </w:tr>
    </w:tbl>
    <w:p>
      <w:r>
        <w:br w:type="page"/>
      </w:r>
    </w:p>
    <w:p>
      <w:pPr>
        <w:keepNext/>
        <w:spacing w:before="360" w:after="160"/>
        <w:jc w:val="left"/>
        <w:pBdr>
          <w:bottom w:val="single" w:sz="8" w:space="4" w:color="143C64"/>
        </w:pBdr>
      </w:pPr>
      <w:r>
        <w:rPr>
          <w:rFonts w:ascii="Calibri" w:hAnsi="Calibri"/>
          <w:b/>
          <w:color w:val="143C64"/>
          <w:sz w:val="30"/>
        </w:rPr>
        <w:t>Anexo III. Controle de protocolo e de resposta</w:t>
      </w:r>
    </w:p>
    <w:p>
      <w:pPr>
        <w:spacing w:after="120"/>
        <w:jc w:val="both"/>
      </w:pPr>
      <w:r>
        <w:rPr>
          <w:rFonts w:ascii="Calibri" w:hAnsi="Calibri"/>
          <w:b w:val="0"/>
          <w:i w:val="0"/>
          <w:color w:val="1A1A1A"/>
          <w:sz w:val="24"/>
        </w:rPr>
        <w:t>O indicador de verificação da Meta M2 é o ofício protocolado e a resposta juntada aos autos do Núcleo. Este quadro destina-se a esse controle e deve ser atualizado pela Secretaria do Núcleo a cada movimentação.</w:t>
      </w:r>
    </w:p>
    <w:p>
      <w:pPr>
        <w:spacing w:after="8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57"/>
        <w:gridCol w:w="1954"/>
        <w:gridCol w:w="1413"/>
        <w:gridCol w:w="1773"/>
        <w:gridCol w:w="1775"/>
      </w:tblGrid>
      <w:tr>
        <w:trPr>
          <w:cantSplit/>
          <w:tblHeader/>
        </w:trPr>
        <w:tc>
          <w:tcPr>
            <w:tcW w:type="dxa" w:w="2157"/>
            <w:shd w:val="clear" w:color="auto" w:fill="143C64"/>
          </w:tcPr>
          <w:p>
            <w:pPr>
              <w:spacing w:after="0"/>
              <w:jc w:val="left"/>
            </w:pPr>
            <w:r/>
            <w:r>
              <w:rPr>
                <w:rFonts w:ascii="Calibri" w:hAnsi="Calibri"/>
                <w:b/>
                <w:color w:val="FFFFFF"/>
                <w:sz w:val="24"/>
              </w:rPr>
              <w:t>Expediente</w:t>
            </w:r>
          </w:p>
        </w:tc>
        <w:tc>
          <w:tcPr>
            <w:tcW w:type="dxa" w:w="1954"/>
            <w:shd w:val="clear" w:color="auto" w:fill="143C64"/>
          </w:tcPr>
          <w:p>
            <w:pPr>
              <w:spacing w:after="0"/>
              <w:jc w:val="left"/>
            </w:pPr>
            <w:r/>
            <w:r>
              <w:rPr>
                <w:rFonts w:ascii="Calibri" w:hAnsi="Calibri"/>
                <w:b/>
                <w:color w:val="FFFFFF"/>
                <w:sz w:val="24"/>
              </w:rPr>
              <w:t>Data de protocolo</w:t>
            </w:r>
          </w:p>
        </w:tc>
        <w:tc>
          <w:tcPr>
            <w:tcW w:type="dxa" w:w="1413"/>
            <w:shd w:val="clear" w:color="auto" w:fill="143C64"/>
          </w:tcPr>
          <w:p>
            <w:pPr>
              <w:spacing w:after="0"/>
              <w:jc w:val="left"/>
            </w:pPr>
            <w:r/>
            <w:r>
              <w:rPr>
                <w:rFonts w:ascii="Calibri" w:hAnsi="Calibri"/>
                <w:b/>
                <w:color w:val="FFFFFF"/>
                <w:sz w:val="24"/>
              </w:rPr>
              <w:t>Número</w:t>
            </w:r>
          </w:p>
        </w:tc>
        <w:tc>
          <w:tcPr>
            <w:tcW w:type="dxa" w:w="1773"/>
            <w:shd w:val="clear" w:color="auto" w:fill="143C64"/>
          </w:tcPr>
          <w:p>
            <w:pPr>
              <w:spacing w:after="0"/>
              <w:jc w:val="left"/>
            </w:pPr>
            <w:r/>
            <w:r>
              <w:rPr>
                <w:rFonts w:ascii="Calibri" w:hAnsi="Calibri"/>
                <w:b/>
                <w:color w:val="FFFFFF"/>
                <w:sz w:val="24"/>
              </w:rPr>
              <w:t>Data da resposta</w:t>
            </w:r>
          </w:p>
        </w:tc>
        <w:tc>
          <w:tcPr>
            <w:tcW w:type="dxa" w:w="1775"/>
            <w:shd w:val="clear" w:color="auto" w:fill="143C64"/>
          </w:tcPr>
          <w:p>
            <w:pPr>
              <w:spacing w:after="0"/>
              <w:jc w:val="left"/>
            </w:pPr>
            <w:r/>
            <w:r>
              <w:rPr>
                <w:rFonts w:ascii="Calibri" w:hAnsi="Calibri"/>
                <w:b/>
                <w:color w:val="FFFFFF"/>
                <w:sz w:val="24"/>
              </w:rPr>
              <w:t>Situação</w:t>
            </w:r>
          </w:p>
        </w:tc>
      </w:tr>
      <w:tr>
        <w:trPr>
          <w:cantSplit/>
        </w:trPr>
        <w:tc>
          <w:tcPr>
            <w:tcW w:type="dxa" w:w="2157"/>
          </w:tcPr>
          <w:p>
            <w:pPr>
              <w:spacing w:after="0"/>
              <w:jc w:val="left"/>
            </w:pPr>
            <w:r/>
            <w:r>
              <w:rPr>
                <w:rFonts w:ascii="Calibri" w:hAnsi="Calibri"/>
                <w:b w:val="0"/>
                <w:color w:val="1A1A1A"/>
                <w:sz w:val="24"/>
              </w:rPr>
              <w:t>Anexo I, Vigilância Sanitária Estadual</w:t>
            </w:r>
          </w:p>
        </w:tc>
        <w:tc>
          <w:tcPr>
            <w:tcW w:type="dxa" w:w="1954"/>
          </w:tcPr>
          <w:p>
            <w:pPr>
              <w:spacing w:after="0"/>
              <w:jc w:val="left"/>
            </w:pPr>
            <w:r/>
            <w:r>
              <w:rPr>
                <w:rFonts w:ascii="Calibri" w:hAnsi="Calibri"/>
                <w:b w:val="0"/>
                <w:color w:val="1A1A1A"/>
                <w:sz w:val="24"/>
              </w:rPr>
            </w:r>
          </w:p>
        </w:tc>
        <w:tc>
          <w:tcPr>
            <w:tcW w:type="dxa" w:w="1413"/>
          </w:tcPr>
          <w:p>
            <w:pPr>
              <w:spacing w:after="0"/>
              <w:jc w:val="left"/>
            </w:pPr>
            <w:r/>
            <w:r>
              <w:rPr>
                <w:rFonts w:ascii="Calibri" w:hAnsi="Calibri"/>
                <w:b w:val="0"/>
                <w:color w:val="1A1A1A"/>
                <w:sz w:val="24"/>
              </w:rPr>
            </w:r>
          </w:p>
        </w:tc>
        <w:tc>
          <w:tcPr>
            <w:tcW w:type="dxa" w:w="1773"/>
          </w:tcPr>
          <w:p>
            <w:pPr>
              <w:spacing w:after="0"/>
              <w:jc w:val="left"/>
            </w:pPr>
            <w:r/>
            <w:r>
              <w:rPr>
                <w:rFonts w:ascii="Calibri" w:hAnsi="Calibri"/>
                <w:b w:val="0"/>
                <w:color w:val="1A1A1A"/>
                <w:sz w:val="24"/>
              </w:rPr>
            </w:r>
          </w:p>
        </w:tc>
        <w:tc>
          <w:tcPr>
            <w:tcW w:type="dxa" w:w="1775"/>
          </w:tcPr>
          <w:p>
            <w:pPr>
              <w:spacing w:after="0"/>
              <w:jc w:val="left"/>
            </w:pPr>
            <w:r/>
            <w:r>
              <w:rPr>
                <w:rFonts w:ascii="Calibri" w:hAnsi="Calibri"/>
                <w:b w:val="0"/>
                <w:color w:val="1A1A1A"/>
                <w:sz w:val="24"/>
              </w:rPr>
            </w:r>
          </w:p>
        </w:tc>
      </w:tr>
      <w:tr>
        <w:trPr>
          <w:cantSplit/>
        </w:trPr>
        <w:tc>
          <w:tcPr>
            <w:tcW w:type="dxa" w:w="2157"/>
            <w:shd w:val="clear" w:color="auto" w:fill="F2F5F8"/>
          </w:tcPr>
          <w:p>
            <w:pPr>
              <w:spacing w:after="0"/>
              <w:jc w:val="left"/>
            </w:pPr>
            <w:r/>
            <w:r>
              <w:rPr>
                <w:rFonts w:ascii="Calibri" w:hAnsi="Calibri"/>
                <w:b w:val="0"/>
                <w:color w:val="1A1A1A"/>
                <w:sz w:val="24"/>
              </w:rPr>
              <w:t>Anexo II, órgão interno do CRO-MG</w:t>
            </w:r>
          </w:p>
        </w:tc>
        <w:tc>
          <w:tcPr>
            <w:tcW w:type="dxa" w:w="1954"/>
            <w:shd w:val="clear" w:color="auto" w:fill="F2F5F8"/>
          </w:tcPr>
          <w:p>
            <w:pPr>
              <w:spacing w:after="0"/>
              <w:jc w:val="left"/>
            </w:pPr>
            <w:r/>
            <w:r>
              <w:rPr>
                <w:rFonts w:ascii="Calibri" w:hAnsi="Calibri"/>
                <w:b w:val="0"/>
                <w:color w:val="1A1A1A"/>
                <w:sz w:val="24"/>
              </w:rPr>
            </w:r>
          </w:p>
        </w:tc>
        <w:tc>
          <w:tcPr>
            <w:tcW w:type="dxa" w:w="1413"/>
            <w:shd w:val="clear" w:color="auto" w:fill="F2F5F8"/>
          </w:tcPr>
          <w:p>
            <w:pPr>
              <w:spacing w:after="0"/>
              <w:jc w:val="left"/>
            </w:pPr>
            <w:r/>
            <w:r>
              <w:rPr>
                <w:rFonts w:ascii="Calibri" w:hAnsi="Calibri"/>
                <w:b w:val="0"/>
                <w:color w:val="1A1A1A"/>
                <w:sz w:val="24"/>
              </w:rPr>
            </w:r>
          </w:p>
        </w:tc>
        <w:tc>
          <w:tcPr>
            <w:tcW w:type="dxa" w:w="1773"/>
            <w:shd w:val="clear" w:color="auto" w:fill="F2F5F8"/>
          </w:tcPr>
          <w:p>
            <w:pPr>
              <w:spacing w:after="0"/>
              <w:jc w:val="left"/>
            </w:pPr>
            <w:r/>
            <w:r>
              <w:rPr>
                <w:rFonts w:ascii="Calibri" w:hAnsi="Calibri"/>
                <w:b w:val="0"/>
                <w:color w:val="1A1A1A"/>
                <w:sz w:val="24"/>
              </w:rPr>
            </w:r>
          </w:p>
        </w:tc>
        <w:tc>
          <w:tcPr>
            <w:tcW w:type="dxa" w:w="1775"/>
            <w:shd w:val="clear" w:color="auto" w:fill="F2F5F8"/>
          </w:tcPr>
          <w:p>
            <w:pPr>
              <w:spacing w:after="0"/>
              <w:jc w:val="left"/>
            </w:pPr>
            <w:r/>
            <w:r>
              <w:rPr>
                <w:rFonts w:ascii="Calibri" w:hAnsi="Calibri"/>
                <w:b w:val="0"/>
                <w:color w:val="1A1A1A"/>
                <w:sz w:val="24"/>
              </w:rPr>
            </w:r>
          </w:p>
        </w:tc>
      </w:tr>
      <w:tr>
        <w:trPr>
          <w:cantSplit/>
        </w:trPr>
        <w:tc>
          <w:tcPr>
            <w:tcW w:type="dxa" w:w="2157"/>
          </w:tcPr>
          <w:p>
            <w:pPr>
              <w:spacing w:after="0"/>
              <w:jc w:val="left"/>
            </w:pPr>
            <w:r/>
            <w:r>
              <w:rPr>
                <w:rFonts w:ascii="Calibri" w:hAnsi="Calibri"/>
                <w:b w:val="0"/>
                <w:color w:val="1A1A1A"/>
                <w:sz w:val="24"/>
              </w:rPr>
              <w:t>Eventual reiteração do Anexo I</w:t>
            </w:r>
          </w:p>
        </w:tc>
        <w:tc>
          <w:tcPr>
            <w:tcW w:type="dxa" w:w="1954"/>
          </w:tcPr>
          <w:p>
            <w:pPr>
              <w:spacing w:after="0"/>
              <w:jc w:val="left"/>
            </w:pPr>
            <w:r/>
            <w:r>
              <w:rPr>
                <w:rFonts w:ascii="Calibri" w:hAnsi="Calibri"/>
                <w:b w:val="0"/>
                <w:color w:val="1A1A1A"/>
                <w:sz w:val="24"/>
              </w:rPr>
            </w:r>
          </w:p>
        </w:tc>
        <w:tc>
          <w:tcPr>
            <w:tcW w:type="dxa" w:w="1413"/>
          </w:tcPr>
          <w:p>
            <w:pPr>
              <w:spacing w:after="0"/>
              <w:jc w:val="left"/>
            </w:pPr>
            <w:r/>
            <w:r>
              <w:rPr>
                <w:rFonts w:ascii="Calibri" w:hAnsi="Calibri"/>
                <w:b w:val="0"/>
                <w:color w:val="1A1A1A"/>
                <w:sz w:val="24"/>
              </w:rPr>
            </w:r>
          </w:p>
        </w:tc>
        <w:tc>
          <w:tcPr>
            <w:tcW w:type="dxa" w:w="1773"/>
          </w:tcPr>
          <w:p>
            <w:pPr>
              <w:spacing w:after="0"/>
              <w:jc w:val="left"/>
            </w:pPr>
            <w:r/>
            <w:r>
              <w:rPr>
                <w:rFonts w:ascii="Calibri" w:hAnsi="Calibri"/>
                <w:b w:val="0"/>
                <w:color w:val="1A1A1A"/>
                <w:sz w:val="24"/>
              </w:rPr>
            </w:r>
          </w:p>
        </w:tc>
        <w:tc>
          <w:tcPr>
            <w:tcW w:type="dxa" w:w="1775"/>
          </w:tcPr>
          <w:p>
            <w:pPr>
              <w:spacing w:after="0"/>
              <w:jc w:val="left"/>
            </w:pPr>
            <w:r/>
            <w:r>
              <w:rPr>
                <w:rFonts w:ascii="Calibri" w:hAnsi="Calibri"/>
                <w:b w:val="0"/>
                <w:color w:val="1A1A1A"/>
                <w:sz w:val="24"/>
              </w:rPr>
            </w:r>
          </w:p>
        </w:tc>
      </w:tr>
      <w:tr>
        <w:trPr>
          <w:cantSplit/>
        </w:trPr>
        <w:tc>
          <w:tcPr>
            <w:tcW w:type="dxa" w:w="2157"/>
            <w:shd w:val="clear" w:color="auto" w:fill="F2F5F8"/>
          </w:tcPr>
          <w:p>
            <w:pPr>
              <w:spacing w:after="0"/>
              <w:jc w:val="left"/>
            </w:pPr>
            <w:r/>
            <w:r>
              <w:rPr>
                <w:rFonts w:ascii="Calibri" w:hAnsi="Calibri"/>
                <w:b w:val="0"/>
                <w:color w:val="1A1A1A"/>
                <w:sz w:val="24"/>
              </w:rPr>
              <w:t>Eventual reiteração do Anexo II</w:t>
            </w:r>
          </w:p>
        </w:tc>
        <w:tc>
          <w:tcPr>
            <w:tcW w:type="dxa" w:w="1954"/>
            <w:shd w:val="clear" w:color="auto" w:fill="F2F5F8"/>
          </w:tcPr>
          <w:p>
            <w:pPr>
              <w:spacing w:after="0"/>
              <w:jc w:val="left"/>
            </w:pPr>
            <w:r/>
            <w:r>
              <w:rPr>
                <w:rFonts w:ascii="Calibri" w:hAnsi="Calibri"/>
                <w:b w:val="0"/>
                <w:color w:val="1A1A1A"/>
                <w:sz w:val="24"/>
              </w:rPr>
            </w:r>
          </w:p>
        </w:tc>
        <w:tc>
          <w:tcPr>
            <w:tcW w:type="dxa" w:w="1413"/>
            <w:shd w:val="clear" w:color="auto" w:fill="F2F5F8"/>
          </w:tcPr>
          <w:p>
            <w:pPr>
              <w:spacing w:after="0"/>
              <w:jc w:val="left"/>
            </w:pPr>
            <w:r/>
            <w:r>
              <w:rPr>
                <w:rFonts w:ascii="Calibri" w:hAnsi="Calibri"/>
                <w:b w:val="0"/>
                <w:color w:val="1A1A1A"/>
                <w:sz w:val="24"/>
              </w:rPr>
            </w:r>
          </w:p>
        </w:tc>
        <w:tc>
          <w:tcPr>
            <w:tcW w:type="dxa" w:w="1773"/>
            <w:shd w:val="clear" w:color="auto" w:fill="F2F5F8"/>
          </w:tcPr>
          <w:p>
            <w:pPr>
              <w:spacing w:after="0"/>
              <w:jc w:val="left"/>
            </w:pPr>
            <w:r/>
            <w:r>
              <w:rPr>
                <w:rFonts w:ascii="Calibri" w:hAnsi="Calibri"/>
                <w:b w:val="0"/>
                <w:color w:val="1A1A1A"/>
                <w:sz w:val="24"/>
              </w:rPr>
            </w:r>
          </w:p>
        </w:tc>
        <w:tc>
          <w:tcPr>
            <w:tcW w:type="dxa" w:w="1775"/>
            <w:shd w:val="clear" w:color="auto" w:fill="F2F5F8"/>
          </w:tcPr>
          <w:p>
            <w:pPr>
              <w:spacing w:after="0"/>
              <w:jc w:val="left"/>
            </w:pPr>
            <w:r/>
            <w:r>
              <w:rPr>
                <w:rFonts w:ascii="Calibri" w:hAnsi="Calibri"/>
                <w:b w:val="0"/>
                <w:color w:val="1A1A1A"/>
                <w:sz w:val="24"/>
              </w:rPr>
            </w:r>
          </w:p>
        </w:tc>
      </w:tr>
    </w:tbl>
    <w:p>
      <w:pPr>
        <w:spacing w:after="240"/>
      </w:pPr>
    </w:p>
    <w:p>
      <w:pPr>
        <w:keepNext/>
        <w:spacing w:before="200" w:after="60"/>
        <w:jc w:val="left"/>
      </w:pPr>
      <w:r>
        <w:rPr>
          <w:rFonts w:ascii="Calibri" w:hAnsi="Calibri"/>
          <w:b/>
          <w:color w:val="444A52"/>
          <w:sz w:val="24"/>
        </w:rPr>
        <w:t>Regra de acompanhamento</w:t>
      </w:r>
    </w:p>
    <w:p>
      <w:pPr>
        <w:pStyle w:val="ListBullet"/>
        <w:spacing w:after="60"/>
        <w:ind w:left="397"/>
        <w:jc w:val="both"/>
      </w:pPr>
      <w:r>
        <w:rPr>
          <w:rFonts w:ascii="Calibri" w:hAnsi="Calibri"/>
          <w:color w:val="1A1A1A"/>
          <w:sz w:val="24"/>
        </w:rPr>
        <w:t>Ausente resposta em trinta dias, a Secretaria propõe reiteração à Diretoria Executiva.</w:t>
      </w:r>
    </w:p>
    <w:p>
      <w:pPr>
        <w:pStyle w:val="ListBullet"/>
        <w:spacing w:after="60"/>
        <w:ind w:left="397"/>
        <w:jc w:val="both"/>
      </w:pPr>
      <w:r>
        <w:rPr>
          <w:rFonts w:ascii="Calibri" w:hAnsi="Calibri"/>
          <w:color w:val="1A1A1A"/>
          <w:sz w:val="24"/>
        </w:rPr>
        <w:t>Ausente resposta até a reunião de outubro, o Núcleo registra a lacuna como definitiva para o ciclo e declara essa condição em todos os produtos afetados.</w:t>
      </w:r>
    </w:p>
    <w:p>
      <w:pPr>
        <w:pStyle w:val="ListBullet"/>
        <w:spacing w:after="60"/>
        <w:ind w:left="397"/>
        <w:jc w:val="both"/>
      </w:pPr>
      <w:r>
        <w:rPr>
          <w:rFonts w:ascii="Calibri" w:hAnsi="Calibri"/>
          <w:color w:val="1A1A1A"/>
          <w:sz w:val="24"/>
        </w:rPr>
        <w:t>Recebida a resposta, o documento N5-MAPA-01 é atualizado e a lacuna declarada é suprimida, com registro da data e da fonte.</w:t>
      </w:r>
    </w:p>
    <w:p>
      <w:pPr>
        <w:spacing w:after="20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Sobre o que a ausência de resposta não autoriza</w:t>
            </w:r>
          </w:p>
          <w:p>
            <w:pPr>
              <w:spacing w:after="0"/>
              <w:jc w:val="both"/>
            </w:pPr>
            <w:r>
              <w:rPr>
                <w:rFonts w:ascii="Calibri" w:hAnsi="Calibri"/>
                <w:color w:val="1A1A1A"/>
                <w:sz w:val="24"/>
              </w:rPr>
              <w:t>A ausência de resposta não autoriza o Núcleo a estimar, presumir ou reconstruir por analogia a camada estadual. Nessa hipótese, o produto final registra a lacuna de forma expressa e orienta o inscrito a consultar a vigilância sanitária do próprio município. Declarar o que não se sabe é parte do produto, e não falha dele.</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N5-OFIC-01 · Minutas de consulta formal · versão 1.0 · documento técnico-consultivo · uso interno do Núcleo 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N5-OFIC-01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