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CLÍNICO-OPERACIONAL</w:t>
      </w:r>
    </w:p>
    <w:p>
      <w:pPr>
        <w:spacing w:after="160"/>
        <w:jc w:val="center"/>
      </w:pPr>
      <w:r>
        <w:rPr>
          <w:rFonts w:ascii="Calibri" w:hAnsi="Calibri"/>
          <w:b/>
          <w:color w:val="143C64"/>
          <w:sz w:val="48"/>
        </w:rPr>
        <w:t>Fluxograma Estadual de Intercorrências</w:t>
      </w:r>
    </w:p>
    <w:p>
      <w:pPr>
        <w:spacing w:after="720"/>
        <w:jc w:val="center"/>
      </w:pPr>
      <w:r>
        <w:rPr>
          <w:rFonts w:ascii="Calibri" w:hAnsi="Calibri"/>
          <w:b w:val="0"/>
          <w:i w:val="0"/>
          <w:color w:val="444A52"/>
          <w:sz w:val="26"/>
        </w:rPr>
        <w:t>Arquitetura de reconhecimento e resposta em quatro camadas, com fluxo de decisão, cenários prioritários e critérios de encaminhamento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N5-FLUX-01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 e condição de uso</w:t>
      </w:r>
    </w:p>
    <w:p>
      <w:pPr>
        <w:spacing w:after="120"/>
        <w:jc w:val="both"/>
      </w:pPr>
      <w:r>
        <w:rPr>
          <w:rFonts w:ascii="Calibri" w:hAnsi="Calibri"/>
          <w:b w:val="0"/>
          <w:i w:val="0"/>
          <w:color w:val="1A1A1A"/>
          <w:sz w:val="24"/>
        </w:rPr>
        <w:t>Este documento organiza a resposta às intercorrências em Harmonização Orofacial em quatro camadas consecutivas. Sua função é impedir que o serviço dependa da memória ou do improviso diante de um cenário crítico. Ele foi escrito para ser consultado na cadeira, sob pressão de tempo, e não apenas lido em ambiente de estudo.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O que este documento não é</w:t>
            </w:r>
          </w:p>
          <w:p>
            <w:pPr>
              <w:spacing w:after="0"/>
              <w:jc w:val="both"/>
            </w:pPr>
            <w:r>
              <w:rPr>
                <w:rFonts w:ascii="Calibri" w:hAnsi="Calibri"/>
                <w:color w:val="1A1A1A"/>
                <w:sz w:val="24"/>
              </w:rPr>
              <w:t>Não é protocolo clínico terapêutico, não substitui diagnóstico, treinamento prático, atendimento de urgência nem o julgamento do profissional diante do caso concreto. Não cria obrigação não prevista em norma. As condutas descritas nos cenários correspondem ao que a literatura consultada relata, com o nível de evidência declarado, e sua aplicação depende da competência profissional, da capacitação e dos recursos efetivamente disponíveis.</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Princípio operacional das quatro camadas</w:t>
      </w:r>
    </w:p>
    <w:p>
      <w:pPr>
        <w:spacing w:after="120"/>
        <w:jc w:val="both"/>
      </w:pPr>
      <w:r>
        <w:rPr>
          <w:rFonts w:ascii="Calibri" w:hAnsi="Calibri"/>
          <w:b w:val="0"/>
          <w:i w:val="0"/>
          <w:color w:val="1A1A1A"/>
          <w:sz w:val="24"/>
        </w:rPr>
        <w:t>As camadas são consecutivas e cumulativas. Falha na camada anterior aumenta a carga sobre a seguinte. A maior parte do ganho de segurança está na camada 1, que é a mais barata de implementar e a mais frequentemente negligenciada.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41"/>
        <w:gridCol w:w="1898"/>
        <w:gridCol w:w="2639"/>
        <w:gridCol w:w="2194"/>
      </w:tblGrid>
      <w:tr>
        <w:trPr>
          <w:cantSplit/>
          <w:tblHeader/>
        </w:trPr>
        <w:tc>
          <w:tcPr>
            <w:tcW w:type="dxa" w:w="2341"/>
            <w:shd w:val="clear" w:color="auto" w:fill="143C64"/>
          </w:tcPr>
          <w:p>
            <w:pPr>
              <w:spacing w:after="0"/>
              <w:jc w:val="left"/>
            </w:pPr>
            <w:r/>
            <w:r>
              <w:rPr>
                <w:rFonts w:ascii="Calibri" w:hAnsi="Calibri"/>
                <w:b/>
                <w:color w:val="FFFFFF"/>
                <w:sz w:val="24"/>
              </w:rPr>
              <w:t>Camada</w:t>
            </w:r>
          </w:p>
        </w:tc>
        <w:tc>
          <w:tcPr>
            <w:tcW w:type="dxa" w:w="1898"/>
            <w:shd w:val="clear" w:color="auto" w:fill="143C64"/>
          </w:tcPr>
          <w:p>
            <w:pPr>
              <w:spacing w:after="0"/>
              <w:jc w:val="left"/>
            </w:pPr>
            <w:r/>
            <w:r>
              <w:rPr>
                <w:rFonts w:ascii="Calibri" w:hAnsi="Calibri"/>
                <w:b/>
                <w:color w:val="FFFFFF"/>
                <w:sz w:val="24"/>
              </w:rPr>
              <w:t>Pergunta operacional</w:t>
            </w:r>
          </w:p>
        </w:tc>
        <w:tc>
          <w:tcPr>
            <w:tcW w:type="dxa" w:w="2639"/>
            <w:shd w:val="clear" w:color="auto" w:fill="143C64"/>
          </w:tcPr>
          <w:p>
            <w:pPr>
              <w:spacing w:after="0"/>
              <w:jc w:val="left"/>
            </w:pPr>
            <w:r/>
            <w:r>
              <w:rPr>
                <w:rFonts w:ascii="Calibri" w:hAnsi="Calibri"/>
                <w:b/>
                <w:color w:val="FFFFFF"/>
                <w:sz w:val="24"/>
              </w:rPr>
              <w:t>Produto associado</w:t>
            </w:r>
          </w:p>
        </w:tc>
        <w:tc>
          <w:tcPr>
            <w:tcW w:type="dxa" w:w="2194"/>
            <w:shd w:val="clear" w:color="auto" w:fill="143C64"/>
          </w:tcPr>
          <w:p>
            <w:pPr>
              <w:spacing w:after="0"/>
              <w:jc w:val="left"/>
            </w:pPr>
            <w:r/>
            <w:r>
              <w:rPr>
                <w:rFonts w:ascii="Calibri" w:hAnsi="Calibri"/>
                <w:b/>
                <w:color w:val="FFFFFF"/>
                <w:sz w:val="24"/>
              </w:rPr>
              <w:t>Registro obrigatório</w:t>
            </w:r>
          </w:p>
        </w:tc>
      </w:tr>
      <w:tr>
        <w:trPr>
          <w:cantSplit/>
        </w:trPr>
        <w:tc>
          <w:tcPr>
            <w:tcW w:type="dxa" w:w="2341"/>
          </w:tcPr>
          <w:p>
            <w:pPr>
              <w:spacing w:after="0"/>
              <w:jc w:val="left"/>
            </w:pPr>
            <w:r/>
            <w:r>
              <w:rPr>
                <w:rFonts w:ascii="Calibri" w:hAnsi="Calibri"/>
                <w:b/>
                <w:color w:val="1A1A1A"/>
                <w:sz w:val="24"/>
              </w:rPr>
              <w:t>1</w:t>
            </w:r>
          </w:p>
          <w:p>
            <w:pPr>
              <w:spacing w:after="0"/>
              <w:jc w:val="left"/>
            </w:pPr>
            <w:r>
              <w:rPr>
                <w:rFonts w:ascii="Calibri" w:hAnsi="Calibri"/>
                <w:b w:val="0"/>
                <w:color w:val="1A1A1A"/>
                <w:sz w:val="24"/>
              </w:rPr>
              <w:t>Prevenção</w:t>
            </w:r>
          </w:p>
        </w:tc>
        <w:tc>
          <w:tcPr>
            <w:tcW w:type="dxa" w:w="1898"/>
          </w:tcPr>
          <w:p>
            <w:pPr>
              <w:spacing w:after="0"/>
              <w:jc w:val="left"/>
            </w:pPr>
            <w:r/>
            <w:r>
              <w:rPr>
                <w:rFonts w:ascii="Calibri" w:hAnsi="Calibri"/>
                <w:b w:val="0"/>
                <w:color w:val="1A1A1A"/>
                <w:sz w:val="24"/>
              </w:rPr>
              <w:t>O que precisa estar verificado antes do início?</w:t>
            </w:r>
          </w:p>
        </w:tc>
        <w:tc>
          <w:tcPr>
            <w:tcW w:type="dxa" w:w="2639"/>
          </w:tcPr>
          <w:p>
            <w:pPr>
              <w:spacing w:after="0"/>
              <w:jc w:val="left"/>
            </w:pPr>
            <w:r/>
            <w:r>
              <w:rPr>
                <w:rFonts w:ascii="Calibri" w:hAnsi="Calibri"/>
                <w:b w:val="0"/>
                <w:color w:val="1A1A1A"/>
                <w:sz w:val="24"/>
              </w:rPr>
              <w:t>Checklist de Segurança Clínica e POP específico.</w:t>
            </w:r>
          </w:p>
        </w:tc>
        <w:tc>
          <w:tcPr>
            <w:tcW w:type="dxa" w:w="2194"/>
          </w:tcPr>
          <w:p>
            <w:pPr>
              <w:spacing w:after="0"/>
              <w:jc w:val="left"/>
            </w:pPr>
            <w:r/>
            <w:r>
              <w:rPr>
                <w:rFonts w:ascii="Calibri" w:hAnsi="Calibri"/>
                <w:b w:val="0"/>
                <w:color w:val="1A1A1A"/>
                <w:sz w:val="24"/>
              </w:rPr>
              <w:t>Conferência documentada antes do procedimento.</w:t>
            </w:r>
          </w:p>
        </w:tc>
      </w:tr>
      <w:tr>
        <w:trPr>
          <w:cantSplit/>
        </w:trPr>
        <w:tc>
          <w:tcPr>
            <w:tcW w:type="dxa" w:w="2341"/>
            <w:shd w:val="clear" w:color="auto" w:fill="F2F5F8"/>
          </w:tcPr>
          <w:p>
            <w:pPr>
              <w:spacing w:after="0"/>
              <w:jc w:val="left"/>
            </w:pPr>
            <w:r/>
            <w:r>
              <w:rPr>
                <w:rFonts w:ascii="Calibri" w:hAnsi="Calibri"/>
                <w:b/>
                <w:color w:val="1A1A1A"/>
                <w:sz w:val="24"/>
              </w:rPr>
              <w:t>2</w:t>
            </w:r>
          </w:p>
          <w:p>
            <w:pPr>
              <w:spacing w:after="0"/>
              <w:jc w:val="left"/>
            </w:pPr>
            <w:r>
              <w:rPr>
                <w:rFonts w:ascii="Calibri" w:hAnsi="Calibri"/>
                <w:b w:val="0"/>
                <w:color w:val="1A1A1A"/>
                <w:sz w:val="24"/>
              </w:rPr>
              <w:t>Reconhecimento</w:t>
            </w:r>
          </w:p>
        </w:tc>
        <w:tc>
          <w:tcPr>
            <w:tcW w:type="dxa" w:w="1898"/>
            <w:shd w:val="clear" w:color="auto" w:fill="F2F5F8"/>
          </w:tcPr>
          <w:p>
            <w:pPr>
              <w:spacing w:after="0"/>
              <w:jc w:val="left"/>
            </w:pPr>
            <w:r/>
            <w:r>
              <w:rPr>
                <w:rFonts w:ascii="Calibri" w:hAnsi="Calibri"/>
                <w:b w:val="0"/>
                <w:color w:val="1A1A1A"/>
                <w:sz w:val="24"/>
              </w:rPr>
              <w:t>Quais sinais alteram a evolução esperada e exigem ação?</w:t>
            </w:r>
          </w:p>
        </w:tc>
        <w:tc>
          <w:tcPr>
            <w:tcW w:type="dxa" w:w="2639"/>
            <w:shd w:val="clear" w:color="auto" w:fill="F2F5F8"/>
          </w:tcPr>
          <w:p>
            <w:pPr>
              <w:spacing w:after="0"/>
              <w:jc w:val="left"/>
            </w:pPr>
            <w:r/>
            <w:r>
              <w:rPr>
                <w:rFonts w:ascii="Calibri" w:hAnsi="Calibri"/>
                <w:b w:val="0"/>
                <w:color w:val="1A1A1A"/>
                <w:sz w:val="24"/>
              </w:rPr>
              <w:t>Guia de Diagnóstico Precoce.</w:t>
            </w:r>
          </w:p>
        </w:tc>
        <w:tc>
          <w:tcPr>
            <w:tcW w:type="dxa" w:w="2194"/>
            <w:shd w:val="clear" w:color="auto" w:fill="F2F5F8"/>
          </w:tcPr>
          <w:p>
            <w:pPr>
              <w:spacing w:after="0"/>
              <w:jc w:val="left"/>
            </w:pPr>
            <w:r/>
            <w:r>
              <w:rPr>
                <w:rFonts w:ascii="Calibri" w:hAnsi="Calibri"/>
                <w:b w:val="0"/>
                <w:color w:val="1A1A1A"/>
                <w:sz w:val="24"/>
              </w:rPr>
              <w:t>Horário do primeiro sinal e descrição objetiva.</w:t>
            </w:r>
          </w:p>
        </w:tc>
      </w:tr>
      <w:tr>
        <w:trPr>
          <w:cantSplit/>
        </w:trPr>
        <w:tc>
          <w:tcPr>
            <w:tcW w:type="dxa" w:w="2341"/>
          </w:tcPr>
          <w:p>
            <w:pPr>
              <w:spacing w:after="0"/>
              <w:jc w:val="left"/>
            </w:pPr>
            <w:r/>
            <w:r>
              <w:rPr>
                <w:rFonts w:ascii="Calibri" w:hAnsi="Calibri"/>
                <w:b/>
                <w:color w:val="1A1A1A"/>
                <w:sz w:val="24"/>
              </w:rPr>
              <w:t>3</w:t>
            </w:r>
          </w:p>
          <w:p>
            <w:pPr>
              <w:spacing w:after="0"/>
              <w:jc w:val="left"/>
            </w:pPr>
            <w:r>
              <w:rPr>
                <w:rFonts w:ascii="Calibri" w:hAnsi="Calibri"/>
                <w:b w:val="0"/>
                <w:color w:val="1A1A1A"/>
                <w:sz w:val="24"/>
              </w:rPr>
              <w:t>Conduta imediata</w:t>
            </w:r>
          </w:p>
        </w:tc>
        <w:tc>
          <w:tcPr>
            <w:tcW w:type="dxa" w:w="1898"/>
          </w:tcPr>
          <w:p>
            <w:pPr>
              <w:spacing w:after="0"/>
              <w:jc w:val="left"/>
            </w:pPr>
            <w:r/>
            <w:r>
              <w:rPr>
                <w:rFonts w:ascii="Calibri" w:hAnsi="Calibri"/>
                <w:b w:val="0"/>
                <w:color w:val="1A1A1A"/>
                <w:sz w:val="24"/>
              </w:rPr>
              <w:t>Qual é a primeira resposta segura nos minutos iniciais?</w:t>
            </w:r>
          </w:p>
        </w:tc>
        <w:tc>
          <w:tcPr>
            <w:tcW w:type="dxa" w:w="2639"/>
          </w:tcPr>
          <w:p>
            <w:pPr>
              <w:spacing w:after="0"/>
              <w:jc w:val="left"/>
            </w:pPr>
            <w:r/>
            <w:r>
              <w:rPr>
                <w:rFonts w:ascii="Calibri" w:hAnsi="Calibri"/>
                <w:b w:val="0"/>
                <w:color w:val="1A1A1A"/>
                <w:sz w:val="24"/>
              </w:rPr>
              <w:t>POP específico de manejo.</w:t>
            </w:r>
          </w:p>
        </w:tc>
        <w:tc>
          <w:tcPr>
            <w:tcW w:type="dxa" w:w="2194"/>
          </w:tcPr>
          <w:p>
            <w:pPr>
              <w:spacing w:after="0"/>
              <w:jc w:val="left"/>
            </w:pPr>
            <w:r/>
            <w:r>
              <w:rPr>
                <w:rFonts w:ascii="Calibri" w:hAnsi="Calibri"/>
                <w:b w:val="0"/>
                <w:color w:val="1A1A1A"/>
                <w:sz w:val="24"/>
              </w:rPr>
              <w:t>Horário de início da conduta e resposta observada.</w:t>
            </w:r>
          </w:p>
        </w:tc>
      </w:tr>
      <w:tr>
        <w:trPr>
          <w:cantSplit/>
        </w:trPr>
        <w:tc>
          <w:tcPr>
            <w:tcW w:type="dxa" w:w="2341"/>
            <w:shd w:val="clear" w:color="auto" w:fill="F2F5F8"/>
          </w:tcPr>
          <w:p>
            <w:pPr>
              <w:spacing w:after="0"/>
              <w:jc w:val="left"/>
            </w:pPr>
            <w:r/>
            <w:r>
              <w:rPr>
                <w:rFonts w:ascii="Calibri" w:hAnsi="Calibri"/>
                <w:b/>
                <w:color w:val="1A1A1A"/>
                <w:sz w:val="24"/>
              </w:rPr>
              <w:t>4</w:t>
            </w:r>
          </w:p>
          <w:p>
            <w:pPr>
              <w:spacing w:after="0"/>
              <w:jc w:val="left"/>
            </w:pPr>
            <w:r>
              <w:rPr>
                <w:rFonts w:ascii="Calibri" w:hAnsi="Calibri"/>
                <w:b w:val="0"/>
                <w:color w:val="1A1A1A"/>
                <w:sz w:val="24"/>
              </w:rPr>
              <w:t>Encaminhamento e registro</w:t>
            </w:r>
          </w:p>
        </w:tc>
        <w:tc>
          <w:tcPr>
            <w:tcW w:type="dxa" w:w="1898"/>
            <w:shd w:val="clear" w:color="auto" w:fill="F2F5F8"/>
          </w:tcPr>
          <w:p>
            <w:pPr>
              <w:spacing w:after="0"/>
              <w:jc w:val="left"/>
            </w:pPr>
            <w:r/>
            <w:r>
              <w:rPr>
                <w:rFonts w:ascii="Calibri" w:hAnsi="Calibri"/>
                <w:b w:val="0"/>
                <w:color w:val="1A1A1A"/>
                <w:sz w:val="24"/>
              </w:rPr>
              <w:t>Quando escalar, para onde encaminhar, o que registrar e notificar?</w:t>
            </w:r>
          </w:p>
        </w:tc>
        <w:tc>
          <w:tcPr>
            <w:tcW w:type="dxa" w:w="2639"/>
            <w:shd w:val="clear" w:color="auto" w:fill="F2F5F8"/>
          </w:tcPr>
          <w:p>
            <w:pPr>
              <w:spacing w:after="0"/>
              <w:jc w:val="left"/>
            </w:pPr>
            <w:r/>
            <w:r>
              <w:rPr>
                <w:rFonts w:ascii="Calibri" w:hAnsi="Calibri"/>
                <w:b w:val="0"/>
                <w:color w:val="1A1A1A"/>
                <w:sz w:val="24"/>
              </w:rPr>
              <w:t>Rede de referência, prontuário e tecnovigilância.</w:t>
            </w:r>
          </w:p>
        </w:tc>
        <w:tc>
          <w:tcPr>
            <w:tcW w:type="dxa" w:w="2194"/>
            <w:shd w:val="clear" w:color="auto" w:fill="F2F5F8"/>
          </w:tcPr>
          <w:p>
            <w:pPr>
              <w:spacing w:after="0"/>
              <w:jc w:val="left"/>
            </w:pPr>
            <w:r/>
            <w:r>
              <w:rPr>
                <w:rFonts w:ascii="Calibri" w:hAnsi="Calibri"/>
                <w:b w:val="0"/>
                <w:color w:val="1A1A1A"/>
                <w:sz w:val="24"/>
              </w:rPr>
              <w:t>Prontuário completo e continuidade do cuidado.</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Regra dos três horários</w:t>
            </w:r>
          </w:p>
          <w:p>
            <w:pPr>
              <w:spacing w:after="0"/>
              <w:jc w:val="both"/>
            </w:pPr>
            <w:r>
              <w:rPr>
                <w:rFonts w:ascii="Calibri" w:hAnsi="Calibri"/>
                <w:color w:val="1A1A1A"/>
                <w:sz w:val="24"/>
              </w:rPr>
              <w:t>Todo evento deve registrar três marcos temporais: o horário do primeiro sinal, o horário do primeiro contato com o profissional e o horário do início da primeira conduta. Sem esses três horários, é impossível avaliar retrospectivamente se a resposta foi tempestiva, tanto para fins de melhoria assistencial quanto para eventual defesa técnica do profissional.</w:t>
            </w:r>
          </w:p>
        </w:tc>
      </w:tr>
    </w:tbl>
    <w:p>
      <w:pPr>
        <w:spacing w:after="80"/>
      </w:pPr>
    </w:p>
    <w:p>
      <w:pPr>
        <w:keepNext/>
        <w:spacing w:before="360" w:after="160"/>
        <w:jc w:val="left"/>
        <w:pBdr>
          <w:bottom w:val="single" w:sz="8" w:space="4" w:color="143C64"/>
        </w:pBdr>
      </w:pPr>
      <w:r>
        <w:rPr>
          <w:rFonts w:ascii="Calibri" w:hAnsi="Calibri"/>
          <w:b/>
          <w:color w:val="143C64"/>
          <w:sz w:val="30"/>
        </w:rPr>
        <w:t>3  Fluxo geral de decisão</w:t>
      </w:r>
    </w:p>
    <w:p>
      <w:pPr>
        <w:spacing w:after="120"/>
        <w:jc w:val="both"/>
      </w:pPr>
      <w:r>
        <w:rPr>
          <w:rFonts w:ascii="Calibri" w:hAnsi="Calibri"/>
          <w:b w:val="0"/>
          <w:i w:val="0"/>
          <w:color w:val="1A1A1A"/>
          <w:sz w:val="24"/>
        </w:rPr>
        <w:t>O fluxo abaixo é único e antecede qualquer cenário específico. Ele decide se o caso é uma urgência com ameaça funcional, caso em que o encaminhamento não deve ser adiado, ou um evento manejável no consultório com acompanhamento estruturado.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79"/>
        <w:gridCol w:w="2042"/>
        <w:gridCol w:w="3103"/>
        <w:gridCol w:w="2749"/>
      </w:tblGrid>
      <w:tr>
        <w:trPr>
          <w:cantSplit/>
          <w:tblHeader/>
        </w:trPr>
        <w:tc>
          <w:tcPr>
            <w:tcW w:type="dxa" w:w="1179"/>
            <w:shd w:val="clear" w:color="auto" w:fill="143C64"/>
          </w:tcPr>
          <w:p>
            <w:pPr>
              <w:spacing w:after="0"/>
              <w:jc w:val="left"/>
            </w:pPr>
            <w:r/>
            <w:r>
              <w:rPr>
                <w:rFonts w:ascii="Calibri" w:hAnsi="Calibri"/>
                <w:b/>
                <w:color w:val="FFFFFF"/>
                <w:sz w:val="24"/>
              </w:rPr>
              <w:t>Etapa</w:t>
            </w:r>
          </w:p>
        </w:tc>
        <w:tc>
          <w:tcPr>
            <w:tcW w:type="dxa" w:w="2042"/>
            <w:shd w:val="clear" w:color="auto" w:fill="143C64"/>
          </w:tcPr>
          <w:p>
            <w:pPr>
              <w:spacing w:after="0"/>
              <w:jc w:val="left"/>
            </w:pPr>
            <w:r/>
            <w:r>
              <w:rPr>
                <w:rFonts w:ascii="Calibri" w:hAnsi="Calibri"/>
                <w:b/>
                <w:color w:val="FFFFFF"/>
                <w:sz w:val="24"/>
              </w:rPr>
              <w:t>Momento</w:t>
            </w:r>
          </w:p>
        </w:tc>
        <w:tc>
          <w:tcPr>
            <w:tcW w:type="dxa" w:w="3103"/>
            <w:shd w:val="clear" w:color="auto" w:fill="143C64"/>
          </w:tcPr>
          <w:p>
            <w:pPr>
              <w:spacing w:after="0"/>
              <w:jc w:val="left"/>
            </w:pPr>
            <w:r/>
            <w:r>
              <w:rPr>
                <w:rFonts w:ascii="Calibri" w:hAnsi="Calibri"/>
                <w:b/>
                <w:color w:val="FFFFFF"/>
                <w:sz w:val="24"/>
              </w:rPr>
              <w:t>Pergunta ou condição</w:t>
            </w:r>
          </w:p>
        </w:tc>
        <w:tc>
          <w:tcPr>
            <w:tcW w:type="dxa" w:w="2749"/>
            <w:shd w:val="clear" w:color="auto" w:fill="143C64"/>
          </w:tcPr>
          <w:p>
            <w:pPr>
              <w:spacing w:after="0"/>
              <w:jc w:val="left"/>
            </w:pPr>
            <w:r/>
            <w:r>
              <w:rPr>
                <w:rFonts w:ascii="Calibri" w:hAnsi="Calibri"/>
                <w:b/>
                <w:color w:val="FFFFFF"/>
                <w:sz w:val="24"/>
              </w:rPr>
              <w:t>Decisão</w:t>
            </w:r>
          </w:p>
        </w:tc>
      </w:tr>
      <w:tr>
        <w:trPr>
          <w:cantSplit/>
        </w:trPr>
        <w:tc>
          <w:tcPr>
            <w:tcW w:type="dxa" w:w="1179"/>
          </w:tcPr>
          <w:p>
            <w:pPr>
              <w:spacing w:after="0"/>
              <w:jc w:val="left"/>
            </w:pPr>
            <w:r/>
            <w:r>
              <w:rPr>
                <w:rFonts w:ascii="Calibri" w:hAnsi="Calibri"/>
                <w:b/>
                <w:color w:val="1A1A1A"/>
                <w:sz w:val="24"/>
              </w:rPr>
              <w:t>F0</w:t>
            </w:r>
          </w:p>
        </w:tc>
        <w:tc>
          <w:tcPr>
            <w:tcW w:type="dxa" w:w="2042"/>
          </w:tcPr>
          <w:p>
            <w:pPr>
              <w:spacing w:after="0"/>
              <w:jc w:val="left"/>
            </w:pPr>
            <w:r/>
            <w:r>
              <w:rPr>
                <w:rFonts w:ascii="Calibri" w:hAnsi="Calibri"/>
                <w:b w:val="0"/>
                <w:color w:val="1A1A1A"/>
                <w:sz w:val="24"/>
              </w:rPr>
              <w:t>Antes</w:t>
            </w:r>
          </w:p>
        </w:tc>
        <w:tc>
          <w:tcPr>
            <w:tcW w:type="dxa" w:w="3103"/>
          </w:tcPr>
          <w:p>
            <w:pPr>
              <w:spacing w:after="0"/>
              <w:jc w:val="left"/>
            </w:pPr>
            <w:r/>
            <w:r>
              <w:rPr>
                <w:rFonts w:ascii="Calibri" w:hAnsi="Calibri"/>
                <w:b w:val="0"/>
                <w:color w:val="1A1A1A"/>
                <w:sz w:val="24"/>
              </w:rPr>
              <w:t>O checklist está completo e os recursos de resposta a intercorrência estão disponíveis e dentro da validade?</w:t>
            </w:r>
          </w:p>
        </w:tc>
        <w:tc>
          <w:tcPr>
            <w:tcW w:type="dxa" w:w="2749"/>
          </w:tcPr>
          <w:p>
            <w:pPr>
              <w:spacing w:after="0"/>
              <w:jc w:val="left"/>
            </w:pPr>
            <w:r/>
            <w:r>
              <w:rPr>
                <w:rFonts w:ascii="Calibri" w:hAnsi="Calibri"/>
                <w:b w:val="0"/>
                <w:color w:val="1A1A1A"/>
                <w:sz w:val="24"/>
              </w:rPr>
              <w:t>Se não, não iniciar. Corrigir a pendência e registrar.</w:t>
            </w:r>
          </w:p>
        </w:tc>
      </w:tr>
      <w:tr>
        <w:trPr>
          <w:cantSplit/>
        </w:trPr>
        <w:tc>
          <w:tcPr>
            <w:tcW w:type="dxa" w:w="1179"/>
            <w:shd w:val="clear" w:color="auto" w:fill="F2F5F8"/>
          </w:tcPr>
          <w:p>
            <w:pPr>
              <w:spacing w:after="0"/>
              <w:jc w:val="left"/>
            </w:pPr>
            <w:r/>
            <w:r>
              <w:rPr>
                <w:rFonts w:ascii="Calibri" w:hAnsi="Calibri"/>
                <w:b/>
                <w:color w:val="1A1A1A"/>
                <w:sz w:val="24"/>
              </w:rPr>
              <w:t>F1</w:t>
            </w:r>
          </w:p>
        </w:tc>
        <w:tc>
          <w:tcPr>
            <w:tcW w:type="dxa" w:w="2042"/>
            <w:shd w:val="clear" w:color="auto" w:fill="F2F5F8"/>
          </w:tcPr>
          <w:p>
            <w:pPr>
              <w:spacing w:after="0"/>
              <w:jc w:val="left"/>
            </w:pPr>
            <w:r/>
            <w:r>
              <w:rPr>
                <w:rFonts w:ascii="Calibri" w:hAnsi="Calibri"/>
                <w:b w:val="0"/>
                <w:color w:val="1A1A1A"/>
                <w:sz w:val="24"/>
              </w:rPr>
              <w:t>Sinal</w:t>
            </w:r>
          </w:p>
        </w:tc>
        <w:tc>
          <w:tcPr>
            <w:tcW w:type="dxa" w:w="3103"/>
            <w:shd w:val="clear" w:color="auto" w:fill="F2F5F8"/>
          </w:tcPr>
          <w:p>
            <w:pPr>
              <w:spacing w:after="0"/>
              <w:jc w:val="left"/>
            </w:pPr>
            <w:r/>
            <w:r>
              <w:rPr>
                <w:rFonts w:ascii="Calibri" w:hAnsi="Calibri"/>
                <w:b w:val="0"/>
                <w:color w:val="1A1A1A"/>
                <w:sz w:val="24"/>
              </w:rPr>
              <w:t>Surgiu dor desproporcional, alteração de cor ou de perfusão, alteração visual, déficit neurológico, reação sistêmica, queimadura, sangramento anormal ou outro sinal incompatível com a evolução esperada?</w:t>
            </w:r>
          </w:p>
        </w:tc>
        <w:tc>
          <w:tcPr>
            <w:tcW w:type="dxa" w:w="2749"/>
            <w:shd w:val="clear" w:color="auto" w:fill="F2F5F8"/>
          </w:tcPr>
          <w:p>
            <w:pPr>
              <w:spacing w:after="0"/>
              <w:jc w:val="left"/>
            </w:pPr>
            <w:r/>
            <w:r>
              <w:rPr>
                <w:rFonts w:ascii="Calibri" w:hAnsi="Calibri"/>
                <w:b w:val="0"/>
                <w:color w:val="1A1A1A"/>
                <w:sz w:val="24"/>
              </w:rPr>
              <w:t>Se sim, interromper o procedimento e registrar o horário.</w:t>
            </w:r>
          </w:p>
        </w:tc>
      </w:tr>
      <w:tr>
        <w:trPr>
          <w:cantSplit/>
        </w:trPr>
        <w:tc>
          <w:tcPr>
            <w:tcW w:type="dxa" w:w="1179"/>
          </w:tcPr>
          <w:p>
            <w:pPr>
              <w:spacing w:after="0"/>
              <w:jc w:val="left"/>
            </w:pPr>
            <w:r/>
            <w:r>
              <w:rPr>
                <w:rFonts w:ascii="Calibri" w:hAnsi="Calibri"/>
                <w:b/>
                <w:color w:val="1A1A1A"/>
                <w:sz w:val="24"/>
              </w:rPr>
              <w:t>F2</w:t>
            </w:r>
          </w:p>
        </w:tc>
        <w:tc>
          <w:tcPr>
            <w:tcW w:type="dxa" w:w="2042"/>
          </w:tcPr>
          <w:p>
            <w:pPr>
              <w:spacing w:after="0"/>
              <w:jc w:val="left"/>
            </w:pPr>
            <w:r/>
            <w:r>
              <w:rPr>
                <w:rFonts w:ascii="Calibri" w:hAnsi="Calibri"/>
                <w:b w:val="0"/>
                <w:color w:val="1A1A1A"/>
                <w:sz w:val="24"/>
              </w:rPr>
              <w:t>Gravidade</w:t>
            </w:r>
          </w:p>
        </w:tc>
        <w:tc>
          <w:tcPr>
            <w:tcW w:type="dxa" w:w="3103"/>
          </w:tcPr>
          <w:p>
            <w:pPr>
              <w:spacing w:after="0"/>
              <w:jc w:val="left"/>
            </w:pPr>
            <w:r/>
            <w:r>
              <w:rPr>
                <w:rFonts w:ascii="Calibri" w:hAnsi="Calibri"/>
                <w:b w:val="0"/>
                <w:color w:val="1A1A1A"/>
                <w:sz w:val="24"/>
              </w:rPr>
              <w:t>Há ameaça à visão, déficit neurológico, instabilidade sistêmica ou outra condição de emergência?</w:t>
            </w:r>
          </w:p>
        </w:tc>
        <w:tc>
          <w:tcPr>
            <w:tcW w:type="dxa" w:w="2749"/>
          </w:tcPr>
          <w:p>
            <w:pPr>
              <w:spacing w:after="0"/>
              <w:jc w:val="left"/>
            </w:pPr>
            <w:r/>
            <w:r>
              <w:rPr>
                <w:rFonts w:ascii="Calibri" w:hAnsi="Calibri"/>
                <w:b w:val="0"/>
                <w:color w:val="1A1A1A"/>
                <w:sz w:val="24"/>
              </w:rPr>
              <w:t>Se sim, acionar encaminhamento de urgência imediatamente, sem aguardar exame complementar ou evolução.</w:t>
            </w:r>
          </w:p>
        </w:tc>
      </w:tr>
      <w:tr>
        <w:trPr>
          <w:cantSplit/>
        </w:trPr>
        <w:tc>
          <w:tcPr>
            <w:tcW w:type="dxa" w:w="1179"/>
            <w:shd w:val="clear" w:color="auto" w:fill="F2F5F8"/>
          </w:tcPr>
          <w:p>
            <w:pPr>
              <w:spacing w:after="0"/>
              <w:jc w:val="left"/>
            </w:pPr>
            <w:r/>
            <w:r>
              <w:rPr>
                <w:rFonts w:ascii="Calibri" w:hAnsi="Calibri"/>
                <w:b/>
                <w:color w:val="1A1A1A"/>
                <w:sz w:val="24"/>
              </w:rPr>
              <w:t>F3</w:t>
            </w:r>
          </w:p>
        </w:tc>
        <w:tc>
          <w:tcPr>
            <w:tcW w:type="dxa" w:w="2042"/>
            <w:shd w:val="clear" w:color="auto" w:fill="F2F5F8"/>
          </w:tcPr>
          <w:p>
            <w:pPr>
              <w:spacing w:after="0"/>
              <w:jc w:val="left"/>
            </w:pPr>
            <w:r/>
            <w:r>
              <w:rPr>
                <w:rFonts w:ascii="Calibri" w:hAnsi="Calibri"/>
                <w:b w:val="0"/>
                <w:color w:val="1A1A1A"/>
                <w:sz w:val="24"/>
              </w:rPr>
              <w:t>Hipótese</w:t>
            </w:r>
          </w:p>
        </w:tc>
        <w:tc>
          <w:tcPr>
            <w:tcW w:type="dxa" w:w="3103"/>
            <w:shd w:val="clear" w:color="auto" w:fill="F2F5F8"/>
          </w:tcPr>
          <w:p>
            <w:pPr>
              <w:spacing w:after="0"/>
              <w:jc w:val="left"/>
            </w:pPr>
            <w:r/>
            <w:r>
              <w:rPr>
                <w:rFonts w:ascii="Calibri" w:hAnsi="Calibri"/>
                <w:b w:val="0"/>
                <w:color w:val="1A1A1A"/>
                <w:sz w:val="24"/>
              </w:rPr>
              <w:t>Qual o domínio provável do evento: vascular, visual ou neurológico, sistêmico, térmico, infeccioso ou hemorrágico?</w:t>
            </w:r>
          </w:p>
        </w:tc>
        <w:tc>
          <w:tcPr>
            <w:tcW w:type="dxa" w:w="2749"/>
            <w:shd w:val="clear" w:color="auto" w:fill="F2F5F8"/>
          </w:tcPr>
          <w:p>
            <w:pPr>
              <w:spacing w:after="0"/>
              <w:jc w:val="left"/>
            </w:pPr>
            <w:r/>
            <w:r>
              <w:rPr>
                <w:rFonts w:ascii="Calibri" w:hAnsi="Calibri"/>
                <w:b w:val="0"/>
                <w:color w:val="1A1A1A"/>
                <w:sz w:val="24"/>
              </w:rPr>
              <w:t>Aplicar o cenário correspondente da seção 4.</w:t>
            </w:r>
          </w:p>
        </w:tc>
      </w:tr>
      <w:tr>
        <w:trPr>
          <w:cantSplit/>
        </w:trPr>
        <w:tc>
          <w:tcPr>
            <w:tcW w:type="dxa" w:w="1179"/>
          </w:tcPr>
          <w:p>
            <w:pPr>
              <w:spacing w:after="0"/>
              <w:jc w:val="left"/>
            </w:pPr>
            <w:r/>
            <w:r>
              <w:rPr>
                <w:rFonts w:ascii="Calibri" w:hAnsi="Calibri"/>
                <w:b/>
                <w:color w:val="1A1A1A"/>
                <w:sz w:val="24"/>
              </w:rPr>
              <w:t>F4</w:t>
            </w:r>
          </w:p>
        </w:tc>
        <w:tc>
          <w:tcPr>
            <w:tcW w:type="dxa" w:w="2042"/>
          </w:tcPr>
          <w:p>
            <w:pPr>
              <w:spacing w:after="0"/>
              <w:jc w:val="left"/>
            </w:pPr>
            <w:r/>
            <w:r>
              <w:rPr>
                <w:rFonts w:ascii="Calibri" w:hAnsi="Calibri"/>
                <w:b w:val="0"/>
                <w:color w:val="1A1A1A"/>
                <w:sz w:val="24"/>
              </w:rPr>
              <w:t>Conduta</w:t>
            </w:r>
          </w:p>
        </w:tc>
        <w:tc>
          <w:tcPr>
            <w:tcW w:type="dxa" w:w="3103"/>
          </w:tcPr>
          <w:p>
            <w:pPr>
              <w:spacing w:after="0"/>
              <w:jc w:val="left"/>
            </w:pPr>
            <w:r/>
            <w:r>
              <w:rPr>
                <w:rFonts w:ascii="Calibri" w:hAnsi="Calibri"/>
                <w:b w:val="0"/>
                <w:color w:val="1A1A1A"/>
                <w:sz w:val="24"/>
              </w:rPr>
              <w:t>A conduta prevista está dentro da competência profissional, da capacitação do operador e dos recursos disponíveis no local?</w:t>
            </w:r>
          </w:p>
        </w:tc>
        <w:tc>
          <w:tcPr>
            <w:tcW w:type="dxa" w:w="2749"/>
          </w:tcPr>
          <w:p>
            <w:pPr>
              <w:spacing w:after="0"/>
              <w:jc w:val="left"/>
            </w:pPr>
            <w:r/>
            <w:r>
              <w:rPr>
                <w:rFonts w:ascii="Calibri" w:hAnsi="Calibri"/>
                <w:b w:val="0"/>
                <w:color w:val="1A1A1A"/>
                <w:sz w:val="24"/>
              </w:rPr>
              <w:t>Se não, executar apenas as medidas de suporte cabíveis e encaminhar.</w:t>
            </w:r>
          </w:p>
        </w:tc>
      </w:tr>
      <w:tr>
        <w:trPr>
          <w:cantSplit/>
        </w:trPr>
        <w:tc>
          <w:tcPr>
            <w:tcW w:type="dxa" w:w="1179"/>
            <w:shd w:val="clear" w:color="auto" w:fill="F2F5F8"/>
          </w:tcPr>
          <w:p>
            <w:pPr>
              <w:spacing w:after="0"/>
              <w:jc w:val="left"/>
            </w:pPr>
            <w:r/>
            <w:r>
              <w:rPr>
                <w:rFonts w:ascii="Calibri" w:hAnsi="Calibri"/>
                <w:b/>
                <w:color w:val="1A1A1A"/>
                <w:sz w:val="24"/>
              </w:rPr>
              <w:t>F5</w:t>
            </w:r>
          </w:p>
        </w:tc>
        <w:tc>
          <w:tcPr>
            <w:tcW w:type="dxa" w:w="2042"/>
            <w:shd w:val="clear" w:color="auto" w:fill="F2F5F8"/>
          </w:tcPr>
          <w:p>
            <w:pPr>
              <w:spacing w:after="0"/>
              <w:jc w:val="left"/>
            </w:pPr>
            <w:r/>
            <w:r>
              <w:rPr>
                <w:rFonts w:ascii="Calibri" w:hAnsi="Calibri"/>
                <w:b w:val="0"/>
                <w:color w:val="1A1A1A"/>
                <w:sz w:val="24"/>
              </w:rPr>
              <w:t>Fechamento</w:t>
            </w:r>
          </w:p>
        </w:tc>
        <w:tc>
          <w:tcPr>
            <w:tcW w:type="dxa" w:w="3103"/>
            <w:shd w:val="clear" w:color="auto" w:fill="F2F5F8"/>
          </w:tcPr>
          <w:p>
            <w:pPr>
              <w:spacing w:after="0"/>
              <w:jc w:val="left"/>
            </w:pPr>
            <w:r/>
            <w:r>
              <w:rPr>
                <w:rFonts w:ascii="Calibri" w:hAnsi="Calibri"/>
                <w:b w:val="0"/>
                <w:color w:val="1A1A1A"/>
                <w:sz w:val="24"/>
              </w:rPr>
              <w:t>O evento foi registrado, o paciente foi orientado por escrito, o seguimento foi agendado e a necessidade de notificação sanitária foi avaliada?</w:t>
            </w:r>
          </w:p>
        </w:tc>
        <w:tc>
          <w:tcPr>
            <w:tcW w:type="dxa" w:w="2749"/>
            <w:shd w:val="clear" w:color="auto" w:fill="F2F5F8"/>
          </w:tcPr>
          <w:p>
            <w:pPr>
              <w:spacing w:after="0"/>
              <w:jc w:val="left"/>
            </w:pPr>
            <w:r/>
            <w:r>
              <w:rPr>
                <w:rFonts w:ascii="Calibri" w:hAnsi="Calibri"/>
                <w:b w:val="0"/>
                <w:color w:val="1A1A1A"/>
                <w:sz w:val="24"/>
              </w:rPr>
              <w:t>Concluir somente após os quatro itens. Registrar desfecho.</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Princípio de não atraso</w:t>
            </w:r>
          </w:p>
          <w:p>
            <w:pPr>
              <w:spacing w:after="0"/>
              <w:jc w:val="both"/>
            </w:pPr>
            <w:r>
              <w:rPr>
                <w:rFonts w:ascii="Calibri" w:hAnsi="Calibri"/>
                <w:color w:val="1A1A1A"/>
                <w:sz w:val="24"/>
              </w:rPr>
              <w:t>Exame de imagem pode qualificar diagnóstico e conduta quando disponível e indicado, mas não deve retardar a resposta de urgência ou o encaminhamento diante de ameaça visual, neurológica ou sistêmica. RECOMENDAÇÃO TÉCNICA, coerente com a natureza tempo-dependente descrita na literatura consultada.</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4  Cenários prioritários</w:t>
      </w:r>
    </w:p>
    <w:p>
      <w:pPr>
        <w:spacing w:after="120"/>
        <w:jc w:val="both"/>
      </w:pPr>
      <w:r>
        <w:rPr>
          <w:rFonts w:ascii="Calibri" w:hAnsi="Calibri"/>
          <w:b w:val="0"/>
          <w:i w:val="0"/>
          <w:color w:val="1A1A1A"/>
          <w:sz w:val="24"/>
        </w:rPr>
        <w:t>Os cenários abaixo foram priorizados por criticidade e por existência de literatura consultável. Cada um traz o que a literatura descreve, com o desenho do estudo declarado, e o que permanece como decisão do serviço. Nenhum cenário substitui POP específico, que deve ser produzido no modelo mestre do Núcleo.</w:t>
      </w:r>
    </w:p>
    <w:p>
      <w:pPr>
        <w:keepNext/>
        <w:spacing w:before="240" w:after="80"/>
        <w:jc w:val="left"/>
      </w:pPr>
      <w:r>
        <w:rPr>
          <w:rFonts w:ascii="Calibri" w:hAnsi="Calibri"/>
          <w:b/>
          <w:color w:val="143C64"/>
          <w:sz w:val="26"/>
        </w:rPr>
        <w:t>4.1  Cenário 1. Comprometimento vascular com envolvimento cutâneo</w:t>
      </w:r>
    </w:p>
    <w:p>
      <w:pPr>
        <w:spacing w:after="120"/>
        <w:jc w:val="both"/>
      </w:pPr>
      <w:r>
        <w:rPr>
          <w:rFonts w:ascii="Calibri" w:hAnsi="Calibri"/>
          <w:b w:val="0"/>
          <w:i w:val="0"/>
          <w:color w:val="1A1A1A"/>
          <w:sz w:val="24"/>
        </w:rPr>
        <w:t>EVIDÊNCIA CIENTÍFICA. Revisão sistemática publicada em Aesthetic Plastic Surgery descreve dor e alteração da cor da pele como os sinais mais prevalentes de oclusão vascular por preenchedores, e relata que a intervenção nas primeiras quatro a seis horas melhora significativamente o prognóstico, com isquemia em estágio inicial reversível em até oitenta por cento dos casos. A revisão descreve o emprego de hialuronidase em alta dose como intervenção central, com repetição em intervalos curtos, e relata que a orientação por ultrassonografia reduziu de forma expressiva a dose necessária. Terapia antiagregante, corticosteroides e oxigenoterapia hiperbárica aparecem como medidas adjuvantes com finalidades distintas. Limitação: trata-se de síntese de literatura médica, incluindo séries e recomendações de painéis, e não de ensaio clínico comparativo.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030"/>
        <w:gridCol w:w="5042"/>
      </w:tblGrid>
      <w:tr>
        <w:trPr>
          <w:cantSplit/>
          <w:tblHeader/>
        </w:trPr>
        <w:tc>
          <w:tcPr>
            <w:tcW w:type="dxa" w:w="4030"/>
            <w:shd w:val="clear" w:color="auto" w:fill="143C64"/>
          </w:tcPr>
          <w:p>
            <w:pPr>
              <w:spacing w:after="0"/>
              <w:jc w:val="left"/>
            </w:pPr>
            <w:r/>
            <w:r>
              <w:rPr>
                <w:rFonts w:ascii="Calibri" w:hAnsi="Calibri"/>
                <w:b/>
                <w:color w:val="FFFFFF"/>
                <w:sz w:val="24"/>
              </w:rPr>
              <w:t>Camada</w:t>
            </w:r>
          </w:p>
        </w:tc>
        <w:tc>
          <w:tcPr>
            <w:tcW w:type="dxa" w:w="5042"/>
            <w:shd w:val="clear" w:color="auto" w:fill="143C64"/>
          </w:tcPr>
          <w:p>
            <w:pPr>
              <w:spacing w:after="0"/>
              <w:jc w:val="left"/>
            </w:pPr>
            <w:r/>
            <w:r>
              <w:rPr>
                <w:rFonts w:ascii="Calibri" w:hAnsi="Calibri"/>
                <w:b/>
                <w:color w:val="FFFFFF"/>
                <w:sz w:val="24"/>
              </w:rPr>
              <w:t>Conteúdo do cenário</w:t>
            </w:r>
          </w:p>
        </w:tc>
      </w:tr>
      <w:tr>
        <w:trPr>
          <w:cantSplit/>
        </w:trPr>
        <w:tc>
          <w:tcPr>
            <w:tcW w:type="dxa" w:w="4030"/>
          </w:tcPr>
          <w:p>
            <w:pPr>
              <w:spacing w:after="0"/>
              <w:jc w:val="left"/>
            </w:pPr>
            <w:r/>
            <w:r>
              <w:rPr>
                <w:rFonts w:ascii="Calibri" w:hAnsi="Calibri"/>
                <w:b/>
                <w:color w:val="1A1A1A"/>
                <w:sz w:val="24"/>
              </w:rPr>
              <w:t>Prevenção</w:t>
            </w:r>
          </w:p>
        </w:tc>
        <w:tc>
          <w:tcPr>
            <w:tcW w:type="dxa" w:w="5042"/>
          </w:tcPr>
          <w:p>
            <w:pPr>
              <w:spacing w:after="0"/>
              <w:jc w:val="left"/>
            </w:pPr>
            <w:r/>
            <w:r>
              <w:rPr>
                <w:rFonts w:ascii="Calibri" w:hAnsi="Calibri"/>
                <w:b w:val="0"/>
                <w:color w:val="1A1A1A"/>
                <w:sz w:val="24"/>
              </w:rPr>
              <w:t>Anamnese com histórico de preenchimentos prévios e materiais já aplicados na região. Conhecimento da anatomia vascular do território. Disponibilidade e validade dos recursos de manejo antes de iniciar.</w:t>
            </w:r>
          </w:p>
        </w:tc>
      </w:tr>
      <w:tr>
        <w:trPr>
          <w:cantSplit/>
        </w:trPr>
        <w:tc>
          <w:tcPr>
            <w:tcW w:type="dxa" w:w="4030"/>
            <w:shd w:val="clear" w:color="auto" w:fill="F2F5F8"/>
          </w:tcPr>
          <w:p>
            <w:pPr>
              <w:spacing w:after="0"/>
              <w:jc w:val="left"/>
            </w:pPr>
            <w:r/>
            <w:r>
              <w:rPr>
                <w:rFonts w:ascii="Calibri" w:hAnsi="Calibri"/>
                <w:b/>
                <w:color w:val="1A1A1A"/>
                <w:sz w:val="24"/>
              </w:rPr>
              <w:t>Reconhecimento</w:t>
            </w:r>
          </w:p>
        </w:tc>
        <w:tc>
          <w:tcPr>
            <w:tcW w:type="dxa" w:w="5042"/>
            <w:shd w:val="clear" w:color="auto" w:fill="F2F5F8"/>
          </w:tcPr>
          <w:p>
            <w:pPr>
              <w:spacing w:after="0"/>
              <w:jc w:val="left"/>
            </w:pPr>
            <w:r/>
            <w:r>
              <w:rPr>
                <w:rFonts w:ascii="Calibri" w:hAnsi="Calibri"/>
                <w:b w:val="0"/>
                <w:color w:val="1A1A1A"/>
                <w:sz w:val="24"/>
              </w:rPr>
              <w:t>Dor desproporcional ao procedimento, palidez, livedo reticular, alteração progressiva de cor ou de perfusão. Valorizar o tempo de instalação e comparar com a evolução esperada.</w:t>
            </w:r>
          </w:p>
        </w:tc>
      </w:tr>
      <w:tr>
        <w:trPr>
          <w:cantSplit/>
        </w:trPr>
        <w:tc>
          <w:tcPr>
            <w:tcW w:type="dxa" w:w="4030"/>
          </w:tcPr>
          <w:p>
            <w:pPr>
              <w:spacing w:after="0"/>
              <w:jc w:val="left"/>
            </w:pPr>
            <w:r/>
            <w:r>
              <w:rPr>
                <w:rFonts w:ascii="Calibri" w:hAnsi="Calibri"/>
                <w:b/>
                <w:color w:val="1A1A1A"/>
                <w:sz w:val="24"/>
              </w:rPr>
              <w:t>Conduta imediata</w:t>
            </w:r>
          </w:p>
        </w:tc>
        <w:tc>
          <w:tcPr>
            <w:tcW w:type="dxa" w:w="5042"/>
          </w:tcPr>
          <w:p>
            <w:pPr>
              <w:spacing w:after="0"/>
              <w:jc w:val="left"/>
            </w:pPr>
            <w:r/>
            <w:r>
              <w:rPr>
                <w:rFonts w:ascii="Calibri" w:hAnsi="Calibri"/>
                <w:b w:val="0"/>
                <w:color w:val="1A1A1A"/>
                <w:sz w:val="24"/>
              </w:rPr>
              <w:t>Interromper imediatamente e registrar o horário. Aplicar o POP específico de manejo vascular aprovado pelo serviço. A decisão sobre agente, via, dose e repetição é clínica, depende da competência e capacitação do profissional e deve constar do POP, não deste fluxograma.</w:t>
            </w:r>
          </w:p>
        </w:tc>
      </w:tr>
      <w:tr>
        <w:trPr>
          <w:cantSplit/>
        </w:trPr>
        <w:tc>
          <w:tcPr>
            <w:tcW w:type="dxa" w:w="4030"/>
            <w:shd w:val="clear" w:color="auto" w:fill="F2F5F8"/>
          </w:tcPr>
          <w:p>
            <w:pPr>
              <w:spacing w:after="0"/>
              <w:jc w:val="left"/>
            </w:pPr>
            <w:r/>
            <w:r>
              <w:rPr>
                <w:rFonts w:ascii="Calibri" w:hAnsi="Calibri"/>
                <w:b/>
                <w:color w:val="1A1A1A"/>
                <w:sz w:val="24"/>
              </w:rPr>
              <w:t>Encaminhamento</w:t>
            </w:r>
          </w:p>
        </w:tc>
        <w:tc>
          <w:tcPr>
            <w:tcW w:type="dxa" w:w="5042"/>
            <w:shd w:val="clear" w:color="auto" w:fill="F2F5F8"/>
          </w:tcPr>
          <w:p>
            <w:pPr>
              <w:spacing w:after="0"/>
              <w:jc w:val="left"/>
            </w:pPr>
            <w:r/>
            <w:r>
              <w:rPr>
                <w:rFonts w:ascii="Calibri" w:hAnsi="Calibri"/>
                <w:b w:val="0"/>
                <w:color w:val="1A1A1A"/>
                <w:sz w:val="24"/>
              </w:rPr>
              <w:t>Definir previamente a rota de encaminhamento e o contato de referência. Registrar conduta, resposta observada e horários. Avaliar necessidade de notificação.</w:t>
            </w:r>
          </w:p>
        </w:tc>
      </w:tr>
    </w:tbl>
    <w:p>
      <w:pPr>
        <w:keepNext/>
        <w:spacing w:before="240" w:after="80"/>
        <w:jc w:val="left"/>
      </w:pPr>
      <w:r>
        <w:rPr>
          <w:rFonts w:ascii="Calibri" w:hAnsi="Calibri"/>
          <w:b/>
          <w:color w:val="143C64"/>
          <w:sz w:val="26"/>
        </w:rPr>
        <w:t>4.2  Cenário 2. Comprometimento com envolvimento oftálmico ou neurológico</w:t>
      </w:r>
    </w:p>
    <w:p>
      <w:pPr>
        <w:spacing w:after="120"/>
        <w:jc w:val="both"/>
      </w:pPr>
      <w:r>
        <w:rPr>
          <w:rFonts w:ascii="Calibri" w:hAnsi="Calibri"/>
          <w:b w:val="0"/>
          <w:i w:val="0"/>
          <w:color w:val="1A1A1A"/>
          <w:sz w:val="24"/>
        </w:rPr>
        <w:t>EVIDÊNCIA CIENTÍFICA. Revisão conduzida segundo PRISMA 2020, com trinta e cinco artigos incluídos, descreve a oclusão vascular oftálmica induzida por preenchedor como evento raro e devastador, com o ácido hialurônico respondendo pela maior parte dos casos de cegueira relatados. A revisão propõe classificação temporal distinguindo apresentações fulminante, imediata e tardia, com implicações prognósticas distintas, e descreve manifestação oftálmica típica como perda visual, ptose ou oftalmoplegia. Complicações neurológicas, incluindo acidente vascular encefálico, são relatadas em até vinte e quatro por cento dos casos na literatura revisada, frequentemente acometendo o território da artéria cerebral média. A hialuronidase é apontada como a única intervenção consistentemente associada a melhores desfechos, permanecendo em debate a via ótima de administração. Limitação: revisão de literatura predominantemente composta por relatos e séries, sujeita a viés de publicação.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Consequência operacional direta</w:t>
            </w:r>
          </w:p>
          <w:p>
            <w:pPr>
              <w:spacing w:after="0"/>
              <w:jc w:val="both"/>
            </w:pPr>
            <w:r>
              <w:rPr>
                <w:rFonts w:ascii="Calibri" w:hAnsi="Calibri"/>
                <w:color w:val="1A1A1A"/>
                <w:sz w:val="24"/>
              </w:rPr>
              <w:t>Ameaça visual ou déficit neurológico é a situação em que o encaminhamento não pode ser adiado por nenhuma razão, inclusive para obtenção de exame. O serviço deve ter, por escrito e antes de qualquer procedimento, a rota de urgência oftalmológica e neurológica de referência, com contato e endereço. A ausência dessa definição prévia é, por si só, uma falha da camada 1.</w:t>
            </w:r>
          </w:p>
        </w:tc>
      </w:tr>
    </w:tbl>
    <w:p>
      <w:pPr>
        <w:spacing w:after="80"/>
      </w:pPr>
    </w:p>
    <w:p>
      <w:pPr>
        <w:keepNext/>
        <w:spacing w:before="240" w:after="80"/>
        <w:jc w:val="left"/>
      </w:pPr>
      <w:r>
        <w:rPr>
          <w:rFonts w:ascii="Calibri" w:hAnsi="Calibri"/>
          <w:b/>
          <w:color w:val="143C64"/>
          <w:sz w:val="26"/>
        </w:rPr>
        <w:t>4.3  Cenário 3. Reação sistêmica e anafilaxia</w:t>
      </w:r>
    </w:p>
    <w:p>
      <w:pPr>
        <w:spacing w:after="120"/>
        <w:jc w:val="both"/>
      </w:pPr>
      <w:r>
        <w:rPr>
          <w:rFonts w:ascii="Calibri" w:hAnsi="Calibri"/>
          <w:b w:val="0"/>
          <w:i w:val="0"/>
          <w:color w:val="1A1A1A"/>
          <w:sz w:val="24"/>
        </w:rPr>
        <w:t>Dispneia, alteração do nível de consciência, sinais de anafilaxia ou instabilidade hemodinâmica configuram emergência. A conduta é acionamento imediato do serviço de emergência e adoção das medidas de suporte compatíveis com a capacitação do profissional e com os recursos do local. RECOMENDAÇÃO TÉCNICA. A composição do kit de emergência e a competência para cada medida devem estar definidas em POP próprio e verificadas na camada 1.</w:t>
      </w:r>
    </w:p>
    <w:p>
      <w:pPr>
        <w:keepNext/>
        <w:spacing w:before="240" w:after="80"/>
        <w:jc w:val="left"/>
      </w:pPr>
      <w:r>
        <w:rPr>
          <w:rFonts w:ascii="Calibri" w:hAnsi="Calibri"/>
          <w:b/>
          <w:color w:val="143C64"/>
          <w:sz w:val="26"/>
        </w:rPr>
        <w:t>4.4  Cenário 4. Lesão térmica ou por energia</w:t>
      </w:r>
    </w:p>
    <w:p>
      <w:pPr>
        <w:spacing w:after="120"/>
        <w:jc w:val="both"/>
      </w:pPr>
      <w:r>
        <w:rPr>
          <w:rFonts w:ascii="Calibri" w:hAnsi="Calibri"/>
          <w:b w:val="0"/>
          <w:i w:val="0"/>
          <w:color w:val="1A1A1A"/>
          <w:sz w:val="24"/>
        </w:rPr>
        <w:t>Dor intensa, queimadura, formação de bolha ou alteração cutânea fora do esperado durante uso de equipamento que entrega energia exigem interrupção imediata da aplicação de energia e verificação dos parâmetros e do funcionamento do equipamento. RECOMENDAÇÃO TÉCNICA. O evento deve ser tratado simultaneamente como intercorrência clínica e como possível queixa técnica de equipamento, com registro para tecnovigilância e avaliação sobre manter ou não o equipamento em uso.</w:t>
      </w:r>
    </w:p>
    <w:p>
      <w:pPr>
        <w:keepNext/>
        <w:spacing w:before="240" w:after="80"/>
        <w:jc w:val="left"/>
      </w:pPr>
      <w:r>
        <w:rPr>
          <w:rFonts w:ascii="Calibri" w:hAnsi="Calibri"/>
          <w:b/>
          <w:color w:val="143C64"/>
          <w:sz w:val="26"/>
        </w:rPr>
        <w:t>4.5  Cenário 5. Infecção e evento inflamatório tardio</w:t>
      </w:r>
    </w:p>
    <w:p>
      <w:pPr>
        <w:spacing w:after="120"/>
        <w:jc w:val="both"/>
      </w:pPr>
      <w:r>
        <w:rPr>
          <w:rFonts w:ascii="Calibri" w:hAnsi="Calibri"/>
          <w:b w:val="0"/>
          <w:i w:val="0"/>
          <w:color w:val="1A1A1A"/>
          <w:sz w:val="24"/>
        </w:rPr>
        <w:t>Eritema progressivo, calor, dor persistente, secreção ou sintomas sistêmicos exigem avaliação clínica, documentação e condução ou encaminhamento conforme a hipótese e a gravidade. RECOMENDAÇÃO TÉCNICA. Eventos inflamatórios tardios podem surgir semanas ou meses após o procedimento, o que torna o registro de produto, lote e região um elemento diagnóstico e não apenas administrativo.</w:t>
      </w:r>
    </w:p>
    <w:p>
      <w:pPr>
        <w:keepNext/>
        <w:spacing w:before="240" w:after="80"/>
        <w:jc w:val="left"/>
      </w:pPr>
      <w:r>
        <w:rPr>
          <w:rFonts w:ascii="Calibri" w:hAnsi="Calibri"/>
          <w:b/>
          <w:color w:val="143C64"/>
          <w:sz w:val="26"/>
        </w:rPr>
        <w:t>4.6  Cenário 6. Sangramento e hematoma expansivo</w:t>
      </w:r>
    </w:p>
    <w:p>
      <w:pPr>
        <w:spacing w:after="120"/>
        <w:jc w:val="both"/>
      </w:pPr>
      <w:r>
        <w:rPr>
          <w:rFonts w:ascii="Calibri" w:hAnsi="Calibri"/>
          <w:b w:val="0"/>
          <w:i w:val="0"/>
          <w:color w:val="1A1A1A"/>
          <w:sz w:val="24"/>
        </w:rPr>
        <w:t>Sangramento persistente ou hematoma em expansão exigem interrupção, controle local e avaliação da necessidade de encaminhamento. RECOMENDAÇÃO TÉCNICA. O antecedente de uso de anticoagulantes e antiagregantes deve ter sido levantado na anamnese, o que novamente remete à camada 1.</w:t>
      </w:r>
    </w:p>
    <w:p>
      <w:r>
        <w:br w:type="page"/>
      </w:r>
    </w:p>
    <w:p>
      <w:pPr>
        <w:keepNext/>
        <w:spacing w:before="360" w:after="160"/>
        <w:jc w:val="left"/>
        <w:pBdr>
          <w:bottom w:val="single" w:sz="8" w:space="4" w:color="143C64"/>
        </w:pBdr>
      </w:pPr>
      <w:r>
        <w:rPr>
          <w:rFonts w:ascii="Calibri" w:hAnsi="Calibri"/>
          <w:b/>
          <w:color w:val="143C64"/>
          <w:sz w:val="30"/>
        </w:rPr>
        <w:t>5  Camada 4: encaminhamento, registro e notificação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118"/>
        <w:gridCol w:w="3038"/>
        <w:gridCol w:w="2916"/>
      </w:tblGrid>
      <w:tr>
        <w:trPr>
          <w:cantSplit/>
          <w:tblHeader/>
        </w:trPr>
        <w:tc>
          <w:tcPr>
            <w:tcW w:type="dxa" w:w="3118"/>
            <w:shd w:val="clear" w:color="auto" w:fill="143C64"/>
          </w:tcPr>
          <w:p>
            <w:pPr>
              <w:spacing w:after="0"/>
              <w:jc w:val="left"/>
            </w:pPr>
            <w:r/>
            <w:r>
              <w:rPr>
                <w:rFonts w:ascii="Calibri" w:hAnsi="Calibri"/>
                <w:b/>
                <w:color w:val="FFFFFF"/>
                <w:sz w:val="24"/>
              </w:rPr>
              <w:t>Elemento</w:t>
            </w:r>
          </w:p>
        </w:tc>
        <w:tc>
          <w:tcPr>
            <w:tcW w:type="dxa" w:w="3038"/>
            <w:shd w:val="clear" w:color="auto" w:fill="143C64"/>
          </w:tcPr>
          <w:p>
            <w:pPr>
              <w:spacing w:after="0"/>
              <w:jc w:val="left"/>
            </w:pPr>
            <w:r/>
            <w:r>
              <w:rPr>
                <w:rFonts w:ascii="Calibri" w:hAnsi="Calibri"/>
                <w:b/>
                <w:color w:val="FFFFFF"/>
                <w:sz w:val="24"/>
              </w:rPr>
              <w:t>Definição exigida antes do procedimento</w:t>
            </w:r>
          </w:p>
        </w:tc>
        <w:tc>
          <w:tcPr>
            <w:tcW w:type="dxa" w:w="2916"/>
            <w:shd w:val="clear" w:color="auto" w:fill="143C64"/>
          </w:tcPr>
          <w:p>
            <w:pPr>
              <w:spacing w:after="0"/>
              <w:jc w:val="left"/>
            </w:pPr>
            <w:r/>
            <w:r>
              <w:rPr>
                <w:rFonts w:ascii="Calibri" w:hAnsi="Calibri"/>
                <w:b/>
                <w:color w:val="FFFFFF"/>
                <w:sz w:val="24"/>
              </w:rPr>
              <w:t>Responsável</w:t>
            </w:r>
          </w:p>
        </w:tc>
      </w:tr>
      <w:tr>
        <w:trPr>
          <w:cantSplit/>
        </w:trPr>
        <w:tc>
          <w:tcPr>
            <w:tcW w:type="dxa" w:w="3118"/>
          </w:tcPr>
          <w:p>
            <w:pPr>
              <w:spacing w:after="0"/>
              <w:jc w:val="left"/>
            </w:pPr>
            <w:r/>
            <w:r>
              <w:rPr>
                <w:rFonts w:ascii="Calibri" w:hAnsi="Calibri"/>
                <w:b w:val="0"/>
                <w:color w:val="1A1A1A"/>
                <w:sz w:val="24"/>
              </w:rPr>
              <w:t>Rota de urgência geral</w:t>
            </w:r>
          </w:p>
        </w:tc>
        <w:tc>
          <w:tcPr>
            <w:tcW w:type="dxa" w:w="3038"/>
          </w:tcPr>
          <w:p>
            <w:pPr>
              <w:spacing w:after="0"/>
              <w:jc w:val="left"/>
            </w:pPr>
            <w:r/>
            <w:r>
              <w:rPr>
                <w:rFonts w:ascii="Calibri" w:hAnsi="Calibri"/>
                <w:b w:val="0"/>
                <w:color w:val="1A1A1A"/>
                <w:sz w:val="24"/>
              </w:rPr>
              <w:t>Serviço de referência, endereço e forma de acionamento.</w:t>
            </w:r>
          </w:p>
        </w:tc>
        <w:tc>
          <w:tcPr>
            <w:tcW w:type="dxa" w:w="2916"/>
          </w:tcPr>
          <w:p>
            <w:pPr>
              <w:spacing w:after="0"/>
              <w:jc w:val="left"/>
            </w:pPr>
            <w:r/>
            <w:r>
              <w:rPr>
                <w:rFonts w:ascii="Calibri" w:hAnsi="Calibri"/>
                <w:b w:val="0"/>
                <w:color w:val="1A1A1A"/>
                <w:sz w:val="24"/>
              </w:rPr>
              <w:t>Responsável Técnico do serviço.</w:t>
            </w:r>
          </w:p>
        </w:tc>
      </w:tr>
      <w:tr>
        <w:trPr>
          <w:cantSplit/>
        </w:trPr>
        <w:tc>
          <w:tcPr>
            <w:tcW w:type="dxa" w:w="3118"/>
            <w:shd w:val="clear" w:color="auto" w:fill="F2F5F8"/>
          </w:tcPr>
          <w:p>
            <w:pPr>
              <w:spacing w:after="0"/>
              <w:jc w:val="left"/>
            </w:pPr>
            <w:r/>
            <w:r>
              <w:rPr>
                <w:rFonts w:ascii="Calibri" w:hAnsi="Calibri"/>
                <w:b w:val="0"/>
                <w:color w:val="1A1A1A"/>
                <w:sz w:val="24"/>
              </w:rPr>
              <w:t>Rota oftalmológica e neurológica</w:t>
            </w:r>
          </w:p>
        </w:tc>
        <w:tc>
          <w:tcPr>
            <w:tcW w:type="dxa" w:w="3038"/>
            <w:shd w:val="clear" w:color="auto" w:fill="F2F5F8"/>
          </w:tcPr>
          <w:p>
            <w:pPr>
              <w:spacing w:after="0"/>
              <w:jc w:val="left"/>
            </w:pPr>
            <w:r/>
            <w:r>
              <w:rPr>
                <w:rFonts w:ascii="Calibri" w:hAnsi="Calibri"/>
                <w:b w:val="0"/>
                <w:color w:val="1A1A1A"/>
                <w:sz w:val="24"/>
              </w:rPr>
              <w:t>Serviço de referência específico para ameaça visual ou déficit neurológico.</w:t>
            </w:r>
          </w:p>
        </w:tc>
        <w:tc>
          <w:tcPr>
            <w:tcW w:type="dxa" w:w="2916"/>
            <w:shd w:val="clear" w:color="auto" w:fill="F2F5F8"/>
          </w:tcPr>
          <w:p>
            <w:pPr>
              <w:spacing w:after="0"/>
              <w:jc w:val="left"/>
            </w:pPr>
            <w:r/>
            <w:r>
              <w:rPr>
                <w:rFonts w:ascii="Calibri" w:hAnsi="Calibri"/>
                <w:b w:val="0"/>
                <w:color w:val="1A1A1A"/>
                <w:sz w:val="24"/>
              </w:rPr>
              <w:t>Responsável Técnico do serviço.</w:t>
            </w:r>
          </w:p>
        </w:tc>
      </w:tr>
      <w:tr>
        <w:trPr>
          <w:cantSplit/>
        </w:trPr>
        <w:tc>
          <w:tcPr>
            <w:tcW w:type="dxa" w:w="3118"/>
          </w:tcPr>
          <w:p>
            <w:pPr>
              <w:spacing w:after="0"/>
              <w:jc w:val="left"/>
            </w:pPr>
            <w:r/>
            <w:r>
              <w:rPr>
                <w:rFonts w:ascii="Calibri" w:hAnsi="Calibri"/>
                <w:b w:val="0"/>
                <w:color w:val="1A1A1A"/>
                <w:sz w:val="24"/>
              </w:rPr>
              <w:t>Contato de retaguarda</w:t>
            </w:r>
          </w:p>
        </w:tc>
        <w:tc>
          <w:tcPr>
            <w:tcW w:type="dxa" w:w="3038"/>
          </w:tcPr>
          <w:p>
            <w:pPr>
              <w:spacing w:after="0"/>
              <w:jc w:val="left"/>
            </w:pPr>
            <w:r/>
            <w:r>
              <w:rPr>
                <w:rFonts w:ascii="Calibri" w:hAnsi="Calibri"/>
                <w:b w:val="0"/>
                <w:color w:val="1A1A1A"/>
                <w:sz w:val="24"/>
              </w:rPr>
              <w:t>Profissional ou serviço para discussão de caso, quando disponível.</w:t>
            </w:r>
          </w:p>
        </w:tc>
        <w:tc>
          <w:tcPr>
            <w:tcW w:type="dxa" w:w="2916"/>
          </w:tcPr>
          <w:p>
            <w:pPr>
              <w:spacing w:after="0"/>
              <w:jc w:val="left"/>
            </w:pPr>
            <w:r/>
            <w:r>
              <w:rPr>
                <w:rFonts w:ascii="Calibri" w:hAnsi="Calibri"/>
                <w:b w:val="0"/>
                <w:color w:val="1A1A1A"/>
                <w:sz w:val="24"/>
              </w:rPr>
              <w:t>Responsável Técnico do serviço.</w:t>
            </w:r>
          </w:p>
        </w:tc>
      </w:tr>
      <w:tr>
        <w:trPr>
          <w:cantSplit/>
        </w:trPr>
        <w:tc>
          <w:tcPr>
            <w:tcW w:type="dxa" w:w="3118"/>
            <w:shd w:val="clear" w:color="auto" w:fill="F2F5F8"/>
          </w:tcPr>
          <w:p>
            <w:pPr>
              <w:spacing w:after="0"/>
              <w:jc w:val="left"/>
            </w:pPr>
            <w:r/>
            <w:r>
              <w:rPr>
                <w:rFonts w:ascii="Calibri" w:hAnsi="Calibri"/>
                <w:b w:val="0"/>
                <w:color w:val="1A1A1A"/>
                <w:sz w:val="24"/>
              </w:rPr>
              <w:t>Canal de contato do paciente</w:t>
            </w:r>
          </w:p>
        </w:tc>
        <w:tc>
          <w:tcPr>
            <w:tcW w:type="dxa" w:w="3038"/>
            <w:shd w:val="clear" w:color="auto" w:fill="F2F5F8"/>
          </w:tcPr>
          <w:p>
            <w:pPr>
              <w:spacing w:after="0"/>
              <w:jc w:val="left"/>
            </w:pPr>
            <w:r/>
            <w:r>
              <w:rPr>
                <w:rFonts w:ascii="Calibri" w:hAnsi="Calibri"/>
                <w:b w:val="0"/>
                <w:color w:val="1A1A1A"/>
                <w:sz w:val="24"/>
              </w:rPr>
              <w:t>Canal e horário informados por escrito, com conduta caso o profissional não seja localizado.</w:t>
            </w:r>
          </w:p>
        </w:tc>
        <w:tc>
          <w:tcPr>
            <w:tcW w:type="dxa" w:w="2916"/>
            <w:shd w:val="clear" w:color="auto" w:fill="F2F5F8"/>
          </w:tcPr>
          <w:p>
            <w:pPr>
              <w:spacing w:after="0"/>
              <w:jc w:val="left"/>
            </w:pPr>
            <w:r/>
            <w:r>
              <w:rPr>
                <w:rFonts w:ascii="Calibri" w:hAnsi="Calibri"/>
                <w:b w:val="0"/>
                <w:color w:val="1A1A1A"/>
                <w:sz w:val="24"/>
              </w:rPr>
              <w:t>Profissional executante.</w:t>
            </w:r>
          </w:p>
        </w:tc>
      </w:tr>
      <w:tr>
        <w:trPr>
          <w:cantSplit/>
        </w:trPr>
        <w:tc>
          <w:tcPr>
            <w:tcW w:type="dxa" w:w="3118"/>
          </w:tcPr>
          <w:p>
            <w:pPr>
              <w:spacing w:after="0"/>
              <w:jc w:val="left"/>
            </w:pPr>
            <w:r/>
            <w:r>
              <w:rPr>
                <w:rFonts w:ascii="Calibri" w:hAnsi="Calibri"/>
                <w:b w:val="0"/>
                <w:color w:val="1A1A1A"/>
                <w:sz w:val="24"/>
              </w:rPr>
              <w:t>Fluxo de notificação</w:t>
            </w:r>
          </w:p>
        </w:tc>
        <w:tc>
          <w:tcPr>
            <w:tcW w:type="dxa" w:w="3038"/>
          </w:tcPr>
          <w:p>
            <w:pPr>
              <w:spacing w:after="0"/>
              <w:jc w:val="left"/>
            </w:pPr>
            <w:r/>
            <w:r>
              <w:rPr>
                <w:rFonts w:ascii="Calibri" w:hAnsi="Calibri"/>
                <w:b w:val="0"/>
                <w:color w:val="1A1A1A"/>
                <w:sz w:val="24"/>
              </w:rPr>
              <w:t>Critérios e responsável pela notificação de evento adverso ou queixa técnica.</w:t>
            </w:r>
          </w:p>
        </w:tc>
        <w:tc>
          <w:tcPr>
            <w:tcW w:type="dxa" w:w="2916"/>
          </w:tcPr>
          <w:p>
            <w:pPr>
              <w:spacing w:after="0"/>
              <w:jc w:val="left"/>
            </w:pPr>
            <w:r/>
            <w:r>
              <w:rPr>
                <w:rFonts w:ascii="Calibri" w:hAnsi="Calibri"/>
                <w:b w:val="0"/>
                <w:color w:val="1A1A1A"/>
                <w:sz w:val="24"/>
              </w:rPr>
              <w:t>Responsável Técnico do serviço.</w:t>
            </w:r>
          </w:p>
        </w:tc>
      </w:tr>
    </w:tbl>
    <w:p>
      <w:pPr>
        <w:keepNext/>
        <w:spacing w:before="240" w:after="80"/>
        <w:jc w:val="left"/>
      </w:pPr>
      <w:r>
        <w:rPr>
          <w:rFonts w:ascii="Calibri" w:hAnsi="Calibri"/>
          <w:b/>
          <w:color w:val="143C64"/>
          <w:sz w:val="26"/>
        </w:rPr>
        <w:t>5.1  Registro mínimo do evento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203"/>
        <w:gridCol w:w="3869"/>
      </w:tblGrid>
      <w:tr>
        <w:trPr>
          <w:cantSplit/>
          <w:tblHeader/>
        </w:trPr>
        <w:tc>
          <w:tcPr>
            <w:tcW w:type="dxa" w:w="5203"/>
            <w:shd w:val="clear" w:color="auto" w:fill="143C64"/>
          </w:tcPr>
          <w:p>
            <w:pPr>
              <w:spacing w:after="0"/>
              <w:jc w:val="left"/>
            </w:pPr>
            <w:r/>
            <w:r>
              <w:rPr>
                <w:rFonts w:ascii="Calibri" w:hAnsi="Calibri"/>
                <w:b/>
                <w:color w:val="FFFFFF"/>
                <w:sz w:val="24"/>
              </w:rPr>
              <w:t>Campo</w:t>
            </w:r>
          </w:p>
        </w:tc>
        <w:tc>
          <w:tcPr>
            <w:tcW w:type="dxa" w:w="3869"/>
            <w:shd w:val="clear" w:color="auto" w:fill="143C64"/>
          </w:tcPr>
          <w:p>
            <w:pPr>
              <w:spacing w:after="0"/>
              <w:jc w:val="left"/>
            </w:pPr>
            <w:r/>
            <w:r>
              <w:rPr>
                <w:rFonts w:ascii="Calibri" w:hAnsi="Calibri"/>
                <w:b/>
                <w:color w:val="FFFFFF"/>
                <w:sz w:val="24"/>
              </w:rPr>
              <w:t>Conteúdo</w:t>
            </w:r>
          </w:p>
        </w:tc>
      </w:tr>
      <w:tr>
        <w:trPr>
          <w:cantSplit/>
        </w:trPr>
        <w:tc>
          <w:tcPr>
            <w:tcW w:type="dxa" w:w="5203"/>
          </w:tcPr>
          <w:p>
            <w:pPr>
              <w:spacing w:after="0"/>
              <w:jc w:val="left"/>
            </w:pPr>
            <w:r/>
            <w:r>
              <w:rPr>
                <w:rFonts w:ascii="Calibri" w:hAnsi="Calibri"/>
                <w:b w:val="0"/>
                <w:color w:val="1A1A1A"/>
                <w:sz w:val="24"/>
              </w:rPr>
              <w:t>Horário do primeiro sinal</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Horário do contato</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Horário da primeira conduta</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Procedimento realizado</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Produto ou equipamento, lote ou série</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Região e lado</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Parâmetros ou volume</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Sinais observados</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Conduta adotada</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Resposta observada</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Encaminhamento realizado</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Orientação escrita entregue</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Seguimento agendado</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Notificação avaliada</w:t>
            </w:r>
          </w:p>
        </w:tc>
        <w:tc>
          <w:tcPr>
            <w:tcW w:type="dxa" w:w="3869"/>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6  Lacunas declaradas e agenda de revisão</w:t>
      </w:r>
    </w:p>
    <w:p>
      <w:pPr>
        <w:pStyle w:val="ListBullet"/>
        <w:spacing w:after="60"/>
        <w:ind w:left="397"/>
        <w:jc w:val="both"/>
      </w:pPr>
      <w:r>
        <w:rPr>
          <w:rFonts w:ascii="Calibri" w:hAnsi="Calibri"/>
          <w:color w:val="1A1A1A"/>
          <w:sz w:val="24"/>
        </w:rPr>
        <w:t>PENDÊNCIA INSTITUCIONAL. A frequência estadual de intercorrências em Minas Gerais depende de resposta formal dos órgãos competentes. Este documento não apresenta percentuais estaduais e não deve vir a apresentá-los sem coleta autorizada.</w:t>
      </w:r>
    </w:p>
    <w:p>
      <w:pPr>
        <w:pStyle w:val="ListBullet"/>
        <w:spacing w:after="60"/>
        <w:ind w:left="397"/>
        <w:jc w:val="both"/>
      </w:pPr>
      <w:r>
        <w:rPr>
          <w:rFonts w:ascii="Calibri" w:hAnsi="Calibri"/>
          <w:color w:val="1A1A1A"/>
          <w:sz w:val="24"/>
        </w:rPr>
        <w:t>PENDÊNCIA INSTITUCIONAL. As condutas específicas de manejo, incluindo agentes, vias e doses, devem ser fixadas em POPs próprios, aprovados pelo colegiado, e não neste fluxograma.</w:t>
      </w:r>
    </w:p>
    <w:p>
      <w:pPr>
        <w:pStyle w:val="ListBullet"/>
        <w:spacing w:after="60"/>
        <w:ind w:left="397"/>
        <w:jc w:val="both"/>
      </w:pPr>
      <w:r>
        <w:rPr>
          <w:rFonts w:ascii="Calibri" w:hAnsi="Calibri"/>
          <w:color w:val="1A1A1A"/>
          <w:sz w:val="24"/>
        </w:rPr>
        <w:t>RECOMENDAÇÃO TÉCNICA. A literatura consultada é predominantemente médica. A transposição de qualquer conduta para o escopo odontológico exige análise institucional de competência profissional, matéria estranha a este instrumento.</w:t>
      </w:r>
    </w:p>
    <w:p>
      <w:pPr>
        <w:pStyle w:val="ListBullet"/>
        <w:spacing w:after="60"/>
        <w:ind w:left="397"/>
        <w:jc w:val="both"/>
      </w:pPr>
      <w:r>
        <w:rPr>
          <w:rFonts w:ascii="Calibri" w:hAnsi="Calibri"/>
          <w:color w:val="1A1A1A"/>
          <w:sz w:val="24"/>
        </w:rPr>
        <w:t>Revisão obrigatória deste documento em até doze meses, ou imediatamente diante de nova evidência relevante, alteração normativa ou sinal de risco.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6"/>
        <w:gridCol w:w="2363"/>
        <w:gridCol w:w="3163"/>
      </w:tblGrid>
      <w:tr>
        <w:trPr>
          <w:cantSplit/>
          <w:tblHeader/>
        </w:trPr>
        <w:tc>
          <w:tcPr>
            <w:tcW w:type="dxa" w:w="3546"/>
            <w:shd w:val="clear" w:color="auto" w:fill="143C64"/>
          </w:tcPr>
          <w:p>
            <w:pPr>
              <w:spacing w:after="0"/>
              <w:jc w:val="left"/>
            </w:pPr>
            <w:r/>
            <w:r>
              <w:rPr>
                <w:rFonts w:ascii="Calibri" w:hAnsi="Calibri"/>
                <w:b/>
                <w:color w:val="FFFFFF"/>
                <w:sz w:val="24"/>
              </w:rPr>
              <w:t>Referência</w:t>
            </w:r>
          </w:p>
        </w:tc>
        <w:tc>
          <w:tcPr>
            <w:tcW w:type="dxa" w:w="2363"/>
            <w:shd w:val="clear" w:color="auto" w:fill="143C64"/>
          </w:tcPr>
          <w:p>
            <w:pPr>
              <w:spacing w:after="0"/>
              <w:jc w:val="left"/>
            </w:pPr>
            <w:r/>
            <w:r>
              <w:rPr>
                <w:rFonts w:ascii="Calibri" w:hAnsi="Calibri"/>
                <w:b/>
                <w:color w:val="FFFFFF"/>
                <w:sz w:val="24"/>
              </w:rPr>
              <w:t>Desenho</w:t>
            </w:r>
          </w:p>
        </w:tc>
        <w:tc>
          <w:tcPr>
            <w:tcW w:type="dxa" w:w="3163"/>
            <w:shd w:val="clear" w:color="auto" w:fill="143C64"/>
          </w:tcPr>
          <w:p>
            <w:pPr>
              <w:spacing w:after="0"/>
              <w:jc w:val="left"/>
            </w:pPr>
            <w:r/>
            <w:r>
              <w:rPr>
                <w:rFonts w:ascii="Calibri" w:hAnsi="Calibri"/>
                <w:b/>
                <w:color w:val="FFFFFF"/>
                <w:sz w:val="24"/>
              </w:rPr>
              <w:t>Identificadores e verificação</w:t>
            </w:r>
          </w:p>
        </w:tc>
      </w:tr>
      <w:tr>
        <w:trPr>
          <w:cantSplit/>
        </w:trPr>
        <w:tc>
          <w:tcPr>
            <w:tcW w:type="dxa" w:w="3546"/>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63"/>
          </w:tcPr>
          <w:p>
            <w:pPr>
              <w:spacing w:after="0"/>
              <w:jc w:val="left"/>
            </w:pPr>
            <w:r/>
            <w:r>
              <w:rPr>
                <w:rFonts w:ascii="Calibri" w:hAnsi="Calibri"/>
                <w:b w:val="0"/>
                <w:color w:val="1A1A1A"/>
                <w:sz w:val="24"/>
              </w:rPr>
              <w:t>Revisão sistemática</w:t>
            </w:r>
          </w:p>
        </w:tc>
        <w:tc>
          <w:tcPr>
            <w:tcW w:type="dxa" w:w="316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63"/>
            <w:shd w:val="clear" w:color="auto" w:fill="F2F5F8"/>
          </w:tcPr>
          <w:p>
            <w:pPr>
              <w:spacing w:after="0"/>
              <w:jc w:val="left"/>
            </w:pPr>
            <w:r/>
            <w:r>
              <w:rPr>
                <w:rFonts w:ascii="Calibri" w:hAnsi="Calibri"/>
                <w:b w:val="0"/>
                <w:color w:val="1A1A1A"/>
                <w:sz w:val="24"/>
              </w:rPr>
              <w:t>Revisão (35 artigos, PRISMA 2020)</w:t>
            </w:r>
          </w:p>
        </w:tc>
        <w:tc>
          <w:tcPr>
            <w:tcW w:type="dxa" w:w="316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63"/>
          </w:tcPr>
          <w:p>
            <w:pPr>
              <w:spacing w:after="0"/>
              <w:jc w:val="left"/>
            </w:pPr>
            <w:r/>
            <w:r>
              <w:rPr>
                <w:rFonts w:ascii="Calibri" w:hAnsi="Calibri"/>
                <w:b w:val="0"/>
                <w:color w:val="1A1A1A"/>
                <w:sz w:val="24"/>
              </w:rPr>
              <w:t>Revisão</w:t>
            </w:r>
          </w:p>
        </w:tc>
        <w:tc>
          <w:tcPr>
            <w:tcW w:type="dxa" w:w="316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63"/>
            <w:shd w:val="clear" w:color="auto" w:fill="F2F5F8"/>
          </w:tcPr>
          <w:p>
            <w:pPr>
              <w:spacing w:after="0"/>
              <w:jc w:val="left"/>
            </w:pPr>
            <w:r/>
            <w:r>
              <w:rPr>
                <w:rFonts w:ascii="Calibri" w:hAnsi="Calibri"/>
                <w:b w:val="0"/>
                <w:color w:val="1A1A1A"/>
                <w:sz w:val="24"/>
              </w:rPr>
              <w:t>Estudo transversal, 57 participantes</w:t>
            </w:r>
          </w:p>
        </w:tc>
        <w:tc>
          <w:tcPr>
            <w:tcW w:type="dxa" w:w="316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63"/>
          </w:tcPr>
          <w:p>
            <w:pPr>
              <w:spacing w:after="0"/>
              <w:jc w:val="left"/>
            </w:pPr>
            <w:r/>
            <w:r>
              <w:rPr>
                <w:rFonts w:ascii="Calibri" w:hAnsi="Calibri"/>
                <w:b w:val="0"/>
                <w:color w:val="1A1A1A"/>
                <w:sz w:val="24"/>
              </w:rPr>
              <w:t>Revisão sistemática (29 de 1.832 registros)</w:t>
            </w:r>
          </w:p>
        </w:tc>
        <w:tc>
          <w:tcPr>
            <w:tcW w:type="dxa" w:w="316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N5-FLUX-01 · Fluxograma Estadual de Intercorrências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N5-FLUX-01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