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360" w:after="160"/>
        <w:jc w:val="left"/>
        <w:pBdr>
          <w:bottom w:val="single" w:sz="8" w:space="4" w:color="143C64"/>
        </w:pBdr>
      </w:pPr>
      <w:r>
        <w:rPr>
          <w:rFonts w:ascii="Calibri" w:hAnsi="Calibri"/>
          <w:b/>
          <w:color w:val="143C64"/>
          <w:sz w:val="30"/>
        </w:rPr>
        <w:t>POP-N5-T02  Manutenção, calibração, ajuste e controle de desempenho</w:t>
      </w:r>
    </w:p>
    <w:p>
      <w:pPr>
        <w:spacing w:after="120"/>
        <w:jc w:val="both"/>
      </w:pPr>
      <w:r>
        <w:rPr>
          <w:rFonts w:ascii="Calibri" w:hAnsi="Calibri"/>
          <w:b w:val="0"/>
          <w:i w:val="0"/>
          <w:color w:val="1A1A1A"/>
          <w:sz w:val="24"/>
        </w:rPr>
        <w:t>POP transversal de governança tecnológica. Trata de processo do serviço e não depende de produto ou modelo específico, razão pela qual está integralmente fechado.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1196"/>
        <w:gridCol w:w="7876"/>
      </w:tblGrid>
      <w:tr>
        <w:trPr>
          <w:cantSplit/>
          <w:tblHeader/>
        </w:trPr>
        <w:tc>
          <w:tcPr>
            <w:tcW w:type="dxa" w:w="1196"/>
            <w:shd w:val="clear" w:color="auto" w:fill="143C64"/>
          </w:tcPr>
          <w:p>
            <w:pPr>
              <w:spacing w:after="0"/>
              <w:jc w:val="left"/>
            </w:pPr>
            <w:r/>
            <w:r>
              <w:rPr>
                <w:rFonts w:ascii="Calibri" w:hAnsi="Calibri"/>
                <w:b/>
                <w:color w:val="FFFFFF"/>
                <w:sz w:val="24"/>
              </w:rPr>
              <w:t>Nº</w:t>
            </w:r>
          </w:p>
        </w:tc>
        <w:tc>
          <w:tcPr>
            <w:tcW w:type="dxa" w:w="7876"/>
            <w:shd w:val="clear" w:color="auto" w:fill="143C64"/>
          </w:tcPr>
          <w:p>
            <w:pPr>
              <w:spacing w:after="0"/>
              <w:jc w:val="left"/>
            </w:pPr>
            <w:r/>
            <w:r>
              <w:rPr>
                <w:rFonts w:ascii="Calibri" w:hAnsi="Calibri"/>
                <w:b/>
                <w:color w:val="FFFFFF"/>
                <w:sz w:val="24"/>
              </w:rPr>
              <w:t>Passo operacional</w:t>
            </w:r>
          </w:p>
        </w:tc>
      </w:tr>
      <w:tr>
        <w:trPr>
          <w:cantSplit/>
        </w:trPr>
        <w:tc>
          <w:tcPr>
            <w:tcW w:type="dxa" w:w="1196"/>
          </w:tcPr>
          <w:p>
            <w:pPr>
              <w:spacing w:after="0"/>
              <w:jc w:val="left"/>
            </w:pPr>
            <w:r/>
            <w:r>
              <w:rPr>
                <w:rFonts w:ascii="Calibri" w:hAnsi="Calibri"/>
                <w:b w:val="0"/>
                <w:color w:val="1A1A1A"/>
                <w:sz w:val="24"/>
              </w:rPr>
              <w:t>1</w:t>
            </w:r>
          </w:p>
        </w:tc>
        <w:tc>
          <w:tcPr>
            <w:tcW w:type="dxa" w:w="7876"/>
          </w:tcPr>
          <w:p>
            <w:pPr>
              <w:spacing w:after="0"/>
              <w:jc w:val="left"/>
            </w:pPr>
            <w:r/>
            <w:r>
              <w:rPr>
                <w:rFonts w:ascii="Calibri" w:hAnsi="Calibri"/>
                <w:b w:val="0"/>
                <w:color w:val="1A1A1A"/>
                <w:sz w:val="24"/>
              </w:rPr>
              <w:t>Manter inventário de equipamentos com identificação, localização, fabricante, modelo, número de série e situação regulatória.</w:t>
            </w:r>
          </w:p>
        </w:tc>
      </w:tr>
      <w:tr>
        <w:trPr>
          <w:cantSplit/>
        </w:trPr>
        <w:tc>
          <w:tcPr>
            <w:tcW w:type="dxa" w:w="1196"/>
            <w:shd w:val="clear" w:color="auto" w:fill="F2F5F8"/>
          </w:tcPr>
          <w:p>
            <w:pPr>
              <w:spacing w:after="0"/>
              <w:jc w:val="left"/>
            </w:pPr>
            <w:r/>
            <w:r>
              <w:rPr>
                <w:rFonts w:ascii="Calibri" w:hAnsi="Calibri"/>
                <w:b w:val="0"/>
                <w:color w:val="1A1A1A"/>
                <w:sz w:val="24"/>
              </w:rPr>
              <w:t>2</w:t>
            </w:r>
          </w:p>
        </w:tc>
        <w:tc>
          <w:tcPr>
            <w:tcW w:type="dxa" w:w="7876"/>
            <w:shd w:val="clear" w:color="auto" w:fill="F2F5F8"/>
          </w:tcPr>
          <w:p>
            <w:pPr>
              <w:spacing w:after="0"/>
              <w:jc w:val="left"/>
            </w:pPr>
            <w:r/>
            <w:r>
              <w:rPr>
                <w:rFonts w:ascii="Calibri" w:hAnsi="Calibri"/>
                <w:b w:val="0"/>
                <w:color w:val="1A1A1A"/>
                <w:sz w:val="24"/>
              </w:rPr>
              <w:t>Definir cronograma de assistência técnica, manutenção preventiva, calibração, ajuste, ensaios e testes conforme legislação aplicável e instruções do fabricante.</w:t>
            </w:r>
          </w:p>
        </w:tc>
      </w:tr>
      <w:tr>
        <w:trPr>
          <w:cantSplit/>
        </w:trPr>
        <w:tc>
          <w:tcPr>
            <w:tcW w:type="dxa" w:w="1196"/>
          </w:tcPr>
          <w:p>
            <w:pPr>
              <w:spacing w:after="0"/>
              <w:jc w:val="left"/>
            </w:pPr>
            <w:r/>
            <w:r>
              <w:rPr>
                <w:rFonts w:ascii="Calibri" w:hAnsi="Calibri"/>
                <w:b w:val="0"/>
                <w:color w:val="1A1A1A"/>
                <w:sz w:val="24"/>
              </w:rPr>
              <w:t>3</w:t>
            </w:r>
          </w:p>
        </w:tc>
        <w:tc>
          <w:tcPr>
            <w:tcW w:type="dxa" w:w="7876"/>
          </w:tcPr>
          <w:p>
            <w:pPr>
              <w:spacing w:after="0"/>
              <w:jc w:val="left"/>
            </w:pPr>
            <w:r/>
            <w:r>
              <w:rPr>
                <w:rFonts w:ascii="Calibri" w:hAnsi="Calibri"/>
                <w:b w:val="0"/>
                <w:color w:val="1A1A1A"/>
                <w:sz w:val="24"/>
              </w:rPr>
              <w:t>Registrar cada intervenção com identificação do serviço, do equipamento, detalhamento e assinatura do responsável pela execução.</w:t>
            </w:r>
          </w:p>
        </w:tc>
      </w:tr>
      <w:tr>
        <w:trPr>
          <w:cantSplit/>
        </w:trPr>
        <w:tc>
          <w:tcPr>
            <w:tcW w:type="dxa" w:w="1196"/>
            <w:shd w:val="clear" w:color="auto" w:fill="F2F5F8"/>
          </w:tcPr>
          <w:p>
            <w:pPr>
              <w:spacing w:after="0"/>
              <w:jc w:val="left"/>
            </w:pPr>
            <w:r/>
            <w:r>
              <w:rPr>
                <w:rFonts w:ascii="Calibri" w:hAnsi="Calibri"/>
                <w:b w:val="0"/>
                <w:color w:val="1A1A1A"/>
                <w:sz w:val="24"/>
              </w:rPr>
              <w:t>4</w:t>
            </w:r>
          </w:p>
        </w:tc>
        <w:tc>
          <w:tcPr>
            <w:tcW w:type="dxa" w:w="7876"/>
            <w:shd w:val="clear" w:color="auto" w:fill="F2F5F8"/>
          </w:tcPr>
          <w:p>
            <w:pPr>
              <w:spacing w:after="0"/>
              <w:jc w:val="left"/>
            </w:pPr>
            <w:r/>
            <w:r>
              <w:rPr>
                <w:rFonts w:ascii="Calibri" w:hAnsi="Calibri"/>
                <w:b w:val="0"/>
                <w:color w:val="1A1A1A"/>
                <w:sz w:val="24"/>
              </w:rPr>
              <w:t>Retirar de uso equipamento avariado, deteriorado, oxidado ou fora das especificações do fabricante.</w:t>
            </w:r>
          </w:p>
        </w:tc>
      </w:tr>
      <w:tr>
        <w:trPr>
          <w:cantSplit/>
        </w:trPr>
        <w:tc>
          <w:tcPr>
            <w:tcW w:type="dxa" w:w="1196"/>
          </w:tcPr>
          <w:p>
            <w:pPr>
              <w:spacing w:after="0"/>
              <w:jc w:val="left"/>
            </w:pPr>
            <w:r/>
            <w:r>
              <w:rPr>
                <w:rFonts w:ascii="Calibri" w:hAnsi="Calibri"/>
                <w:b w:val="0"/>
                <w:color w:val="1A1A1A"/>
                <w:sz w:val="24"/>
              </w:rPr>
              <w:t>5</w:t>
            </w:r>
          </w:p>
        </w:tc>
        <w:tc>
          <w:tcPr>
            <w:tcW w:type="dxa" w:w="7876"/>
          </w:tcPr>
          <w:p>
            <w:pPr>
              <w:spacing w:after="0"/>
              <w:jc w:val="left"/>
            </w:pPr>
            <w:r/>
            <w:r>
              <w:rPr>
                <w:rFonts w:ascii="Calibri" w:hAnsi="Calibri"/>
                <w:b w:val="0"/>
                <w:color w:val="1A1A1A"/>
                <w:sz w:val="24"/>
              </w:rPr>
              <w:t>Arquivar certificados, laudos e relatórios pelo período definido na política documental do serviço e disponibilizá-los à autoridade sanitária quando exigido.</w:t>
            </w:r>
          </w:p>
        </w:tc>
      </w:tr>
      <w:tr>
        <w:trPr>
          <w:cantSplit/>
        </w:trPr>
        <w:tc>
          <w:tcPr>
            <w:tcW w:type="dxa" w:w="1196"/>
            <w:shd w:val="clear" w:color="auto" w:fill="F2F5F8"/>
          </w:tcPr>
          <w:p>
            <w:pPr>
              <w:spacing w:after="0"/>
              <w:jc w:val="left"/>
            </w:pPr>
            <w:r/>
            <w:r>
              <w:rPr>
                <w:rFonts w:ascii="Calibri" w:hAnsi="Calibri"/>
                <w:b w:val="0"/>
                <w:color w:val="1A1A1A"/>
                <w:sz w:val="24"/>
              </w:rPr>
              <w:t>6</w:t>
            </w:r>
          </w:p>
        </w:tc>
        <w:tc>
          <w:tcPr>
            <w:tcW w:type="dxa" w:w="7876"/>
            <w:shd w:val="clear" w:color="auto" w:fill="F2F5F8"/>
          </w:tcPr>
          <w:p>
            <w:pPr>
              <w:spacing w:after="0"/>
              <w:jc w:val="left"/>
            </w:pPr>
            <w:r/>
            <w:r>
              <w:rPr>
                <w:rFonts w:ascii="Calibri" w:hAnsi="Calibri"/>
                <w:b w:val="0"/>
                <w:color w:val="1A1A1A"/>
                <w:sz w:val="24"/>
              </w:rPr>
              <w:t>Reavaliar o cronograma diante de atualização do fabricante, manutenção corretiva relevante, alerta de segurança ou alteração normativa.</w:t>
            </w:r>
          </w:p>
        </w:tc>
      </w:tr>
    </w:tbl>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Responsável Técnico</w:t>
            </w:r>
          </w:p>
        </w:tc>
        <w:tc>
          <w:tcPr>
            <w:tcW w:type="dxa" w:w="5431"/>
            <w:shd w:val="clear" w:color="auto" w:fill="F2F5F8"/>
          </w:tcPr>
          <w:p>
            <w:pPr>
              <w:spacing w:after="0"/>
              <w:jc w:val="left"/>
            </w:pPr>
            <w:r/>
            <w:r>
              <w:rPr>
                <w:rFonts w:ascii="Calibri" w:hAnsi="Calibri"/>
                <w:b w:val="0"/>
                <w:color w:val="1A1A1A"/>
                <w:sz w:val="24"/>
              </w:rPr>
              <w:t>Campo de preenchimento pelo serviço.</w:t>
            </w:r>
          </w:p>
        </w:tc>
      </w:tr>
    </w:tbl>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POP-N5-T02 · Manutenção, calibração, ajuste e controle de desempenho · versão 1.0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POP-N5-T02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