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DOCUMENTO INTEGRADOR DO EIXO B</w:t>
      </w:r>
    </w:p>
    <w:p>
      <w:pPr>
        <w:spacing w:after="160"/>
        <w:jc w:val="center"/>
      </w:pPr>
      <w:r>
        <w:rPr>
          <w:rFonts w:ascii="Calibri" w:hAnsi="Calibri"/>
          <w:b/>
          <w:color w:val="143C64"/>
          <w:sz w:val="48"/>
        </w:rPr>
        <w:t>Manual de Boas Práticas em Tecnologias</w:t>
      </w:r>
    </w:p>
    <w:p>
      <w:pPr>
        <w:spacing w:after="720"/>
        <w:jc w:val="center"/>
      </w:pPr>
      <w:r>
        <w:rPr>
          <w:rFonts w:ascii="Calibri" w:hAnsi="Calibri"/>
          <w:b w:val="0"/>
          <w:i w:val="0"/>
          <w:color w:val="444A52"/>
          <w:sz w:val="26"/>
        </w:rPr>
        <w:t>Aquisição, adoção, operação, manutenção, documentação e revisão de tecnologias aplicadas à Harmonização Orofacial, com dossiê mínimo e tratamento do uso fora da indicação aprovada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31"/>
        <w:gridCol w:w="5341"/>
      </w:tblGrid>
      <w:tr>
        <w:trPr>
          <w:cantSplit/>
          <w:tblHeader/>
        </w:trPr>
        <w:tc>
          <w:tcPr>
            <w:tcW w:type="dxa" w:w="3731"/>
            <w:shd w:val="clear" w:color="auto" w:fill="143C64"/>
          </w:tcPr>
          <w:p>
            <w:pPr>
              <w:spacing w:after="0"/>
              <w:jc w:val="left"/>
            </w:pPr>
            <w:r/>
            <w:r>
              <w:rPr>
                <w:rFonts w:ascii="Calibri" w:hAnsi="Calibri"/>
                <w:b/>
                <w:color w:val="FFFFFF"/>
                <w:sz w:val="24"/>
              </w:rPr>
              <w:t>Identificação do documento</w:t>
            </w:r>
          </w:p>
        </w:tc>
        <w:tc>
          <w:tcPr>
            <w:tcW w:type="dxa" w:w="5341"/>
            <w:shd w:val="clear" w:color="auto" w:fill="143C64"/>
          </w:tcPr>
          <w:p>
            <w:pPr>
              <w:spacing w:after="0"/>
              <w:jc w:val="left"/>
            </w:pPr>
            <w:r/>
            <w:r>
              <w:rPr>
                <w:rFonts w:ascii="Calibri" w:hAnsi="Calibri"/>
                <w:b/>
                <w:color w:val="FFFFFF"/>
                <w:sz w:val="24"/>
              </w:rPr>
              <w:t>Registro</w:t>
            </w:r>
          </w:p>
        </w:tc>
      </w:tr>
      <w:tr>
        <w:trPr>
          <w:cantSplit/>
        </w:trPr>
        <w:tc>
          <w:tcPr>
            <w:tcW w:type="dxa" w:w="3731"/>
          </w:tcPr>
          <w:p>
            <w:pPr>
              <w:spacing w:after="0"/>
              <w:jc w:val="left"/>
            </w:pPr>
            <w:r/>
            <w:r>
              <w:rPr>
                <w:rFonts w:ascii="Calibri" w:hAnsi="Calibri"/>
                <w:b w:val="0"/>
                <w:color w:val="1A1A1A"/>
                <w:sz w:val="24"/>
              </w:rPr>
              <w:t>Código de controle</w:t>
            </w:r>
          </w:p>
        </w:tc>
        <w:tc>
          <w:tcPr>
            <w:tcW w:type="dxa" w:w="5341"/>
          </w:tcPr>
          <w:p>
            <w:pPr>
              <w:spacing w:after="0"/>
              <w:jc w:val="left"/>
            </w:pPr>
            <w:r/>
            <w:r>
              <w:rPr>
                <w:rFonts w:ascii="Calibri" w:hAnsi="Calibri"/>
                <w:b w:val="0"/>
                <w:color w:val="1A1A1A"/>
                <w:sz w:val="24"/>
              </w:rPr>
              <w:t>N5-MAN-01</w:t>
            </w:r>
          </w:p>
        </w:tc>
      </w:tr>
      <w:tr>
        <w:trPr>
          <w:cantSplit/>
        </w:trPr>
        <w:tc>
          <w:tcPr>
            <w:tcW w:type="dxa" w:w="3731"/>
            <w:shd w:val="clear" w:color="auto" w:fill="F2F5F8"/>
          </w:tcPr>
          <w:p>
            <w:pPr>
              <w:spacing w:after="0"/>
              <w:jc w:val="left"/>
            </w:pPr>
            <w:r/>
            <w:r>
              <w:rPr>
                <w:rFonts w:ascii="Calibri" w:hAnsi="Calibri"/>
                <w:b w:val="0"/>
                <w:color w:val="1A1A1A"/>
                <w:sz w:val="24"/>
              </w:rPr>
              <w:t>Versão</w:t>
            </w:r>
          </w:p>
        </w:tc>
        <w:tc>
          <w:tcPr>
            <w:tcW w:type="dxa" w:w="5341"/>
            <w:shd w:val="clear" w:color="auto" w:fill="F2F5F8"/>
          </w:tcPr>
          <w:p>
            <w:pPr>
              <w:spacing w:after="0"/>
              <w:jc w:val="left"/>
            </w:pPr>
            <w:r/>
            <w:r>
              <w:rPr>
                <w:rFonts w:ascii="Calibri" w:hAnsi="Calibri"/>
                <w:b w:val="0"/>
                <w:color w:val="1A1A1A"/>
                <w:sz w:val="24"/>
              </w:rPr>
              <w:t>2.0</w:t>
            </w:r>
          </w:p>
        </w:tc>
      </w:tr>
      <w:tr>
        <w:trPr>
          <w:cantSplit/>
        </w:trPr>
        <w:tc>
          <w:tcPr>
            <w:tcW w:type="dxa" w:w="3731"/>
          </w:tcPr>
          <w:p>
            <w:pPr>
              <w:spacing w:after="0"/>
              <w:jc w:val="left"/>
            </w:pPr>
            <w:r/>
            <w:r>
              <w:rPr>
                <w:rFonts w:ascii="Calibri" w:hAnsi="Calibri"/>
                <w:b w:val="0"/>
                <w:color w:val="1A1A1A"/>
                <w:sz w:val="24"/>
              </w:rPr>
              <w:t>Data de emissão</w:t>
            </w:r>
          </w:p>
        </w:tc>
        <w:tc>
          <w:tcPr>
            <w:tcW w:type="dxa" w:w="5341"/>
          </w:tcPr>
          <w:p>
            <w:pPr>
              <w:spacing w:after="0"/>
              <w:jc w:val="left"/>
            </w:pPr>
            <w:r/>
            <w:r>
              <w:rPr>
                <w:rFonts w:ascii="Calibri" w:hAnsi="Calibri"/>
                <w:b w:val="0"/>
                <w:color w:val="1A1A1A"/>
                <w:sz w:val="24"/>
              </w:rPr>
              <w:t>25 de agosto de 2026</w:t>
            </w:r>
          </w:p>
        </w:tc>
      </w:tr>
      <w:tr>
        <w:trPr>
          <w:cantSplit/>
        </w:trPr>
        <w:tc>
          <w:tcPr>
            <w:tcW w:type="dxa" w:w="3731"/>
            <w:shd w:val="clear" w:color="auto" w:fill="F2F5F8"/>
          </w:tcPr>
          <w:p>
            <w:pPr>
              <w:spacing w:after="0"/>
              <w:jc w:val="left"/>
            </w:pPr>
            <w:r/>
            <w:r>
              <w:rPr>
                <w:rFonts w:ascii="Calibri" w:hAnsi="Calibri"/>
                <w:b w:val="0"/>
                <w:color w:val="1A1A1A"/>
                <w:sz w:val="24"/>
              </w:rPr>
              <w:t>Situação</w:t>
            </w:r>
          </w:p>
        </w:tc>
        <w:tc>
          <w:tcPr>
            <w:tcW w:type="dxa" w:w="5341"/>
            <w:shd w:val="clear" w:color="auto" w:fill="F2F5F8"/>
          </w:tcPr>
          <w:p>
            <w:pPr>
              <w:spacing w:after="0"/>
              <w:jc w:val="left"/>
            </w:pPr>
            <w:r/>
            <w:r>
              <w:rPr>
                <w:rFonts w:ascii="Calibri" w:hAnsi="Calibri"/>
                <w:b w:val="0"/>
                <w:color w:val="1A1A1A"/>
                <w:sz w:val="24"/>
              </w:rPr>
              <w:t>Consolidado para revisão interna e validação institucional</w:t>
            </w:r>
          </w:p>
        </w:tc>
      </w:tr>
      <w:tr>
        <w:trPr>
          <w:cantSplit/>
        </w:trPr>
        <w:tc>
          <w:tcPr>
            <w:tcW w:type="dxa" w:w="3731"/>
          </w:tcPr>
          <w:p>
            <w:pPr>
              <w:spacing w:after="0"/>
              <w:jc w:val="left"/>
            </w:pPr>
            <w:r/>
            <w:r>
              <w:rPr>
                <w:rFonts w:ascii="Calibri" w:hAnsi="Calibri"/>
                <w:b w:val="0"/>
                <w:color w:val="1A1A1A"/>
                <w:sz w:val="24"/>
              </w:rPr>
              <w:t>Elaboração</w:t>
            </w:r>
          </w:p>
        </w:tc>
        <w:tc>
          <w:tcPr>
            <w:tcW w:type="dxa" w:w="5341"/>
          </w:tcPr>
          <w:p>
            <w:pPr>
              <w:spacing w:after="0"/>
              <w:jc w:val="left"/>
            </w:pPr>
            <w:r/>
            <w:r>
              <w:rPr>
                <w:rFonts w:ascii="Calibri" w:hAnsi="Calibri"/>
                <w:b w:val="0"/>
                <w:color w:val="1A1A1A"/>
                <w:sz w:val="24"/>
              </w:rPr>
              <w:t>Núcleo 5 · Inovação, Tecnologias e Segurança Clínica</w:t>
            </w:r>
          </w:p>
        </w:tc>
      </w:tr>
      <w:tr>
        <w:trPr>
          <w:cantSplit/>
        </w:trPr>
        <w:tc>
          <w:tcPr>
            <w:tcW w:type="dxa" w:w="3731"/>
            <w:shd w:val="clear" w:color="auto" w:fill="F2F5F8"/>
          </w:tcPr>
          <w:p>
            <w:pPr>
              <w:spacing w:after="0"/>
              <w:jc w:val="left"/>
            </w:pPr>
            <w:r/>
            <w:r>
              <w:rPr>
                <w:rFonts w:ascii="Calibri" w:hAnsi="Calibri"/>
                <w:b w:val="0"/>
                <w:color w:val="1A1A1A"/>
                <w:sz w:val="24"/>
              </w:rPr>
              <w:t>Natureza</w:t>
            </w:r>
          </w:p>
        </w:tc>
        <w:tc>
          <w:tcPr>
            <w:tcW w:type="dxa" w:w="5341"/>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731"/>
          </w:tcPr>
          <w:p>
            <w:pPr>
              <w:spacing w:after="0"/>
              <w:jc w:val="left"/>
            </w:pPr>
            <w:r/>
            <w:r>
              <w:rPr>
                <w:rFonts w:ascii="Calibri" w:hAnsi="Calibri"/>
                <w:b w:val="0"/>
                <w:color w:val="1A1A1A"/>
                <w:sz w:val="24"/>
              </w:rPr>
              <w:t>Condição de publicação</w:t>
            </w:r>
          </w:p>
        </w:tc>
        <w:tc>
          <w:tcPr>
            <w:tcW w:type="dxa" w:w="5341"/>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Escopo e natureza</w:t>
      </w:r>
    </w:p>
    <w:p>
      <w:pPr>
        <w:spacing w:after="120"/>
        <w:jc w:val="both"/>
      </w:pPr>
      <w:r>
        <w:rPr>
          <w:rFonts w:ascii="Calibri" w:hAnsi="Calibri"/>
          <w:b w:val="0"/>
          <w:i w:val="0"/>
          <w:color w:val="1A1A1A"/>
          <w:sz w:val="24"/>
        </w:rPr>
        <w:t>Este Manual consolida princípios e fluxos para o ciclo de vida das tecnologias aplicadas à Harmonização Orofacial. Os POPs descrevem a execução específica; os anexos e checklists materializam os controles; este Manual estabelece a lógica que os organiza. O Manual não homologa marcas nem cria exigências além das normas vigentes.</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28"/>
        <w:gridCol w:w="4844"/>
      </w:tblGrid>
      <w:tr>
        <w:trPr>
          <w:cantSplit/>
          <w:tblHeader/>
        </w:trPr>
        <w:tc>
          <w:tcPr>
            <w:tcW w:type="dxa" w:w="4228"/>
            <w:shd w:val="clear" w:color="auto" w:fill="143C64"/>
          </w:tcPr>
          <w:p>
            <w:pPr>
              <w:spacing w:after="0"/>
              <w:jc w:val="left"/>
            </w:pPr>
            <w:r/>
            <w:r>
              <w:rPr>
                <w:rFonts w:ascii="Calibri" w:hAnsi="Calibri"/>
                <w:b/>
                <w:color w:val="FFFFFF"/>
                <w:sz w:val="24"/>
              </w:rPr>
              <w:t>Categoria</w:t>
            </w:r>
          </w:p>
        </w:tc>
        <w:tc>
          <w:tcPr>
            <w:tcW w:type="dxa" w:w="4844"/>
            <w:shd w:val="clear" w:color="auto" w:fill="143C64"/>
          </w:tcPr>
          <w:p>
            <w:pPr>
              <w:spacing w:after="0"/>
              <w:jc w:val="left"/>
            </w:pPr>
            <w:r/>
            <w:r>
              <w:rPr>
                <w:rFonts w:ascii="Calibri" w:hAnsi="Calibri"/>
                <w:b/>
                <w:color w:val="FFFFFF"/>
                <w:sz w:val="24"/>
              </w:rPr>
              <w:t>Definição</w:t>
            </w:r>
          </w:p>
        </w:tc>
      </w:tr>
      <w:tr>
        <w:trPr>
          <w:cantSplit/>
        </w:trPr>
        <w:tc>
          <w:tcPr>
            <w:tcW w:type="dxa" w:w="4228"/>
          </w:tcPr>
          <w:p>
            <w:pPr>
              <w:spacing w:after="0"/>
              <w:jc w:val="left"/>
            </w:pPr>
            <w:r/>
            <w:r>
              <w:rPr>
                <w:rFonts w:ascii="Calibri" w:hAnsi="Calibri"/>
                <w:b/>
                <w:color w:val="1A1A1A"/>
                <w:sz w:val="24"/>
              </w:rPr>
              <w:t>EXIGÊNCIA NORMATIVA</w:t>
            </w:r>
          </w:p>
        </w:tc>
        <w:tc>
          <w:tcPr>
            <w:tcW w:type="dxa" w:w="4844"/>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4228"/>
            <w:shd w:val="clear" w:color="auto" w:fill="F2F5F8"/>
          </w:tcPr>
          <w:p>
            <w:pPr>
              <w:spacing w:after="0"/>
              <w:jc w:val="left"/>
            </w:pPr>
            <w:r/>
            <w:r>
              <w:rPr>
                <w:rFonts w:ascii="Calibri" w:hAnsi="Calibri"/>
                <w:b/>
                <w:color w:val="1A1A1A"/>
                <w:sz w:val="24"/>
              </w:rPr>
              <w:t>EVIDÊNCIA CIENTÍFICA</w:t>
            </w:r>
          </w:p>
        </w:tc>
        <w:tc>
          <w:tcPr>
            <w:tcW w:type="dxa" w:w="4844"/>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4228"/>
          </w:tcPr>
          <w:p>
            <w:pPr>
              <w:spacing w:after="0"/>
              <w:jc w:val="left"/>
            </w:pPr>
            <w:r/>
            <w:r>
              <w:rPr>
                <w:rFonts w:ascii="Calibri" w:hAnsi="Calibri"/>
                <w:b/>
                <w:color w:val="1A1A1A"/>
                <w:sz w:val="24"/>
              </w:rPr>
              <w:t>RECOMENDAÇÃO TÉCNICA</w:t>
            </w:r>
          </w:p>
        </w:tc>
        <w:tc>
          <w:tcPr>
            <w:tcW w:type="dxa" w:w="4844"/>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4228"/>
            <w:shd w:val="clear" w:color="auto" w:fill="F2F5F8"/>
          </w:tcPr>
          <w:p>
            <w:pPr>
              <w:spacing w:after="0"/>
              <w:jc w:val="left"/>
            </w:pPr>
            <w:r/>
            <w:r>
              <w:rPr>
                <w:rFonts w:ascii="Calibri" w:hAnsi="Calibri"/>
                <w:b/>
                <w:color w:val="1A1A1A"/>
                <w:sz w:val="24"/>
              </w:rPr>
              <w:t>PENDÊNCIA INSTITUCIONAL</w:t>
            </w:r>
          </w:p>
        </w:tc>
        <w:tc>
          <w:tcPr>
            <w:tcW w:type="dxa" w:w="4844"/>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Mapa de governança regulatória</w:t>
      </w:r>
    </w:p>
    <w:p>
      <w:pPr>
        <w:spacing w:after="120"/>
        <w:jc w:val="both"/>
      </w:pPr>
      <w:r>
        <w:rPr>
          <w:rFonts w:ascii="Calibri" w:hAnsi="Calibri"/>
          <w:b w:val="0"/>
          <w:i w:val="0"/>
          <w:color w:val="1A1A1A"/>
          <w:sz w:val="24"/>
        </w:rPr>
        <w:t>Quatro camadas normativas incidem simultaneamente sobre a mesma prática. Confundi-las é a origem mais comum de erro regulatório em documentos técnicos: um equipamento pode estar regularizado e ainda assim ser operado em serviço sem licença, por profissional sem capacitação registrada.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817"/>
        <w:gridCol w:w="2842"/>
        <w:gridCol w:w="3413"/>
      </w:tblGrid>
      <w:tr>
        <w:trPr>
          <w:cantSplit/>
          <w:tblHeader/>
        </w:trPr>
        <w:tc>
          <w:tcPr>
            <w:tcW w:type="dxa" w:w="2817"/>
            <w:shd w:val="clear" w:color="auto" w:fill="143C64"/>
          </w:tcPr>
          <w:p>
            <w:pPr>
              <w:spacing w:after="0"/>
              <w:jc w:val="left"/>
            </w:pPr>
            <w:r/>
            <w:r>
              <w:rPr>
                <w:rFonts w:ascii="Calibri" w:hAnsi="Calibri"/>
                <w:b/>
                <w:color w:val="FFFFFF"/>
                <w:sz w:val="24"/>
              </w:rPr>
              <w:t>Camada</w:t>
            </w:r>
          </w:p>
        </w:tc>
        <w:tc>
          <w:tcPr>
            <w:tcW w:type="dxa" w:w="2842"/>
            <w:shd w:val="clear" w:color="auto" w:fill="143C64"/>
          </w:tcPr>
          <w:p>
            <w:pPr>
              <w:spacing w:after="0"/>
              <w:jc w:val="left"/>
            </w:pPr>
            <w:r/>
            <w:r>
              <w:rPr>
                <w:rFonts w:ascii="Calibri" w:hAnsi="Calibri"/>
                <w:b/>
                <w:color w:val="FFFFFF"/>
                <w:sz w:val="24"/>
              </w:rPr>
              <w:t>Referência principal</w:t>
            </w:r>
          </w:p>
        </w:tc>
        <w:tc>
          <w:tcPr>
            <w:tcW w:type="dxa" w:w="3413"/>
            <w:shd w:val="clear" w:color="auto" w:fill="143C64"/>
          </w:tcPr>
          <w:p>
            <w:pPr>
              <w:spacing w:after="0"/>
              <w:jc w:val="left"/>
            </w:pPr>
            <w:r/>
            <w:r>
              <w:rPr>
                <w:rFonts w:ascii="Calibri" w:hAnsi="Calibri"/>
                <w:b/>
                <w:color w:val="FFFFFF"/>
                <w:sz w:val="24"/>
              </w:rPr>
              <w:t>O que esta camada regula</w:t>
            </w:r>
          </w:p>
        </w:tc>
      </w:tr>
      <w:tr>
        <w:trPr>
          <w:cantSplit/>
        </w:trPr>
        <w:tc>
          <w:tcPr>
            <w:tcW w:type="dxa" w:w="2817"/>
          </w:tcPr>
          <w:p>
            <w:pPr>
              <w:spacing w:after="0"/>
              <w:jc w:val="left"/>
            </w:pPr>
            <w:r/>
            <w:r>
              <w:rPr>
                <w:rFonts w:ascii="Calibri" w:hAnsi="Calibri"/>
                <w:b/>
                <w:color w:val="1A1A1A"/>
                <w:sz w:val="24"/>
              </w:rPr>
              <w:t>Exercício profissional</w:t>
            </w:r>
          </w:p>
        </w:tc>
        <w:tc>
          <w:tcPr>
            <w:tcW w:type="dxa" w:w="2842"/>
          </w:tcPr>
          <w:p>
            <w:pPr>
              <w:spacing w:after="0"/>
              <w:jc w:val="left"/>
            </w:pPr>
            <w:r/>
            <w:r>
              <w:rPr>
                <w:rFonts w:ascii="Calibri" w:hAnsi="Calibri"/>
                <w:b w:val="0"/>
                <w:color w:val="1A1A1A"/>
                <w:sz w:val="24"/>
              </w:rPr>
              <w:t>Lei nº 5.081/1966; Código de Ética Odontológica, Resolução CFO nº 118/2012; resoluções do CFO aplicáveis.</w:t>
            </w:r>
          </w:p>
        </w:tc>
        <w:tc>
          <w:tcPr>
            <w:tcW w:type="dxa" w:w="3413"/>
          </w:tcPr>
          <w:p>
            <w:pPr>
              <w:spacing w:after="0"/>
              <w:jc w:val="left"/>
            </w:pPr>
            <w:r/>
            <w:r>
              <w:rPr>
                <w:rFonts w:ascii="Calibri" w:hAnsi="Calibri"/>
                <w:b w:val="0"/>
                <w:color w:val="1A1A1A"/>
                <w:sz w:val="24"/>
              </w:rPr>
              <w:t>Competência, conduta, publicidade, consentimento e responsabilidade profissional.</w:t>
            </w:r>
          </w:p>
        </w:tc>
      </w:tr>
      <w:tr>
        <w:trPr>
          <w:cantSplit/>
        </w:trPr>
        <w:tc>
          <w:tcPr>
            <w:tcW w:type="dxa" w:w="2817"/>
            <w:shd w:val="clear" w:color="auto" w:fill="F2F5F8"/>
          </w:tcPr>
          <w:p>
            <w:pPr>
              <w:spacing w:after="0"/>
              <w:jc w:val="left"/>
            </w:pPr>
            <w:r/>
            <w:r>
              <w:rPr>
                <w:rFonts w:ascii="Calibri" w:hAnsi="Calibri"/>
                <w:b/>
                <w:color w:val="1A1A1A"/>
                <w:sz w:val="24"/>
              </w:rPr>
              <w:t>Regularização do produto</w:t>
            </w:r>
          </w:p>
        </w:tc>
        <w:tc>
          <w:tcPr>
            <w:tcW w:type="dxa" w:w="2842"/>
            <w:shd w:val="clear" w:color="auto" w:fill="F2F5F8"/>
          </w:tcPr>
          <w:p>
            <w:pPr>
              <w:spacing w:after="0"/>
              <w:jc w:val="left"/>
            </w:pPr>
            <w:r/>
            <w:r>
              <w:rPr>
                <w:rFonts w:ascii="Calibri" w:hAnsi="Calibri"/>
                <w:b w:val="0"/>
                <w:color w:val="1A1A1A"/>
                <w:sz w:val="24"/>
              </w:rPr>
              <w:t>RDC Anvisa nº 751/2022.</w:t>
            </w:r>
          </w:p>
        </w:tc>
        <w:tc>
          <w:tcPr>
            <w:tcW w:type="dxa" w:w="3413"/>
            <w:shd w:val="clear" w:color="auto" w:fill="F2F5F8"/>
          </w:tcPr>
          <w:p>
            <w:pPr>
              <w:spacing w:after="0"/>
              <w:jc w:val="left"/>
            </w:pPr>
            <w:r/>
            <w:r>
              <w:rPr>
                <w:rFonts w:ascii="Calibri" w:hAnsi="Calibri"/>
                <w:b w:val="0"/>
                <w:color w:val="1A1A1A"/>
                <w:sz w:val="24"/>
              </w:rPr>
              <w:t>Classificação de risco, registro ou notificação, rotulagem e instruções de uso do dispositivo.</w:t>
            </w:r>
          </w:p>
        </w:tc>
      </w:tr>
      <w:tr>
        <w:trPr>
          <w:cantSplit/>
        </w:trPr>
        <w:tc>
          <w:tcPr>
            <w:tcW w:type="dxa" w:w="2817"/>
          </w:tcPr>
          <w:p>
            <w:pPr>
              <w:spacing w:after="0"/>
              <w:jc w:val="left"/>
            </w:pPr>
            <w:r/>
            <w:r>
              <w:rPr>
                <w:rFonts w:ascii="Calibri" w:hAnsi="Calibri"/>
                <w:b/>
                <w:color w:val="1A1A1A"/>
                <w:sz w:val="24"/>
              </w:rPr>
              <w:t>Conformidade do equipamento</w:t>
            </w:r>
          </w:p>
        </w:tc>
        <w:tc>
          <w:tcPr>
            <w:tcW w:type="dxa" w:w="2842"/>
          </w:tcPr>
          <w:p>
            <w:pPr>
              <w:spacing w:after="0"/>
              <w:jc w:val="left"/>
            </w:pPr>
            <w:r/>
            <w:r>
              <w:rPr>
                <w:rFonts w:ascii="Calibri" w:hAnsi="Calibri"/>
                <w:b w:val="0"/>
                <w:color w:val="1A1A1A"/>
                <w:sz w:val="24"/>
              </w:rPr>
              <w:t>RDC Anvisa nº 549/2021 e regime de avaliação da conformidade aplicável.</w:t>
            </w:r>
          </w:p>
        </w:tc>
        <w:tc>
          <w:tcPr>
            <w:tcW w:type="dxa" w:w="3413"/>
          </w:tcPr>
          <w:p>
            <w:pPr>
              <w:spacing w:after="0"/>
              <w:jc w:val="left"/>
            </w:pPr>
            <w:r/>
            <w:r>
              <w:rPr>
                <w:rFonts w:ascii="Calibri" w:hAnsi="Calibri"/>
                <w:b w:val="0"/>
                <w:color w:val="1A1A1A"/>
                <w:sz w:val="24"/>
              </w:rPr>
              <w:t>Segurança elétrica e conformidade técnica do modelo de equipamento.</w:t>
            </w:r>
          </w:p>
        </w:tc>
      </w:tr>
      <w:tr>
        <w:trPr>
          <w:cantSplit/>
        </w:trPr>
        <w:tc>
          <w:tcPr>
            <w:tcW w:type="dxa" w:w="2817"/>
            <w:shd w:val="clear" w:color="auto" w:fill="F2F5F8"/>
          </w:tcPr>
          <w:p>
            <w:pPr>
              <w:spacing w:after="0"/>
              <w:jc w:val="left"/>
            </w:pPr>
            <w:r/>
            <w:r>
              <w:rPr>
                <w:rFonts w:ascii="Calibri" w:hAnsi="Calibri"/>
                <w:b/>
                <w:color w:val="1A1A1A"/>
                <w:sz w:val="24"/>
              </w:rPr>
              <w:t>Funcionamento do serviço</w:t>
            </w:r>
          </w:p>
        </w:tc>
        <w:tc>
          <w:tcPr>
            <w:tcW w:type="dxa" w:w="2842"/>
            <w:shd w:val="clear" w:color="auto" w:fill="F2F5F8"/>
          </w:tcPr>
          <w:p>
            <w:pPr>
              <w:spacing w:after="0"/>
              <w:jc w:val="left"/>
            </w:pPr>
            <w:r/>
            <w:r>
              <w:rPr>
                <w:rFonts w:ascii="Calibri" w:hAnsi="Calibri"/>
                <w:b w:val="0"/>
                <w:color w:val="1A1A1A"/>
                <w:sz w:val="24"/>
              </w:rPr>
              <w:t>RDC Anvisa nº 1.002/2025; RDC nº 63/2011; RDC nº 509/2021; normas sanitárias locais.</w:t>
            </w:r>
          </w:p>
        </w:tc>
        <w:tc>
          <w:tcPr>
            <w:tcW w:type="dxa" w:w="3413"/>
            <w:shd w:val="clear" w:color="auto" w:fill="F2F5F8"/>
          </w:tcPr>
          <w:p>
            <w:pPr>
              <w:spacing w:after="0"/>
              <w:jc w:val="left"/>
            </w:pPr>
            <w:r/>
            <w:r>
              <w:rPr>
                <w:rFonts w:ascii="Calibri" w:hAnsi="Calibri"/>
                <w:b w:val="0"/>
                <w:color w:val="1A1A1A"/>
                <w:sz w:val="24"/>
              </w:rPr>
              <w:t>Licenciamento, responsabilidade técnica, série documental, POPs, gerenciamento de tecnologias, rastreabilidade e guarda.</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Camada de maior densidade prática</w:t>
            </w:r>
          </w:p>
          <w:p>
            <w:pPr>
              <w:spacing w:after="0"/>
              <w:jc w:val="both"/>
            </w:pPr>
            <w:r>
              <w:rPr>
                <w:rFonts w:ascii="Calibri" w:hAnsi="Calibri"/>
                <w:color w:val="1A1A1A"/>
                <w:sz w:val="24"/>
              </w:rPr>
              <w:t>EXIGÊNCIA NORMATIVA. A RDC Anvisa nº 1.002/2025 dispõe sobre os requisitos de Boas Práticas de Funcionamento para os serviços que prestam assistência odontológica. Seu artigo 110 determina que o Responsável Técnico elabore e implemente uma Série de Documentos de Boas Práticas de Funcionamento contendo rotinas, protocolos técnicos padronizados, procedimentos operacionais padrão e planos do serviço. Seu artigo 109 remete, de forma complementar, à RDC nº 63/2011. É desta camada, e não da camada de especialidade, que decorre diretamente a exigência de POP. Fonte consultada e verificada em 25 de agosto de 2026.</w:t>
            </w:r>
          </w:p>
        </w:tc>
      </w:tr>
    </w:tbl>
    <w:p>
      <w:pPr>
        <w:spacing w:after="80"/>
      </w:pP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verificado em 25 de agosto de 2026</w:t>
            </w:r>
          </w:p>
          <w:p>
            <w:pPr>
              <w:spacing w:after="0"/>
              <w:jc w:val="both"/>
            </w:pPr>
            <w:r>
              <w:rPr>
                <w:rFonts w:ascii="Calibri" w:hAnsi="Calibri"/>
                <w:color w:val="1A1A1A"/>
                <w:sz w:val="24"/>
              </w:rPr>
              <w:t>Em 19 de agosto de 2026, a 8ª Turma do Tribunal Regional Federal da 1ª Região decidiu, por três votos a dois, pela anulação da Resolução CFO nº 198/2019, no processo nº 1003948-83.2019.4.01.3400. Segundo as fontes consultadas, ainda cabe recurso e a medida produz efeito a partir da publicação do acórdão. O Conselho Federal de Odontologia manifestou discordância e informou que adotará as medidas judiciais cabíveis, registrando que, naquele momento, não havia mudança nas atribuições dos cirurgiões-dentistas. Este pacote não depende dessa resolução: sua fundamentação é sanitária, apoiada na RDC Anvisa nº 1.002/2025 e nos demais atos listados no mapa normativo. O fato é registrado por dever de atualidade, e não como posição do Núcleo sobre o mérito da decisão judicial, matéria estranha à sua competência técnica.</w:t>
            </w:r>
          </w:p>
        </w:tc>
      </w:tr>
    </w:tbl>
    <w:p>
      <w:pPr>
        <w:spacing w:after="80"/>
      </w:pPr>
    </w:p>
    <w:p>
      <w:r>
        <w:br w:type="page"/>
      </w:r>
    </w:p>
    <w:p>
      <w:pPr>
        <w:keepNext/>
        <w:spacing w:before="360" w:after="160"/>
        <w:jc w:val="left"/>
        <w:pBdr>
          <w:bottom w:val="single" w:sz="8" w:space="4" w:color="143C64"/>
        </w:pBdr>
      </w:pPr>
      <w:r>
        <w:rPr>
          <w:rFonts w:ascii="Calibri" w:hAnsi="Calibri"/>
          <w:b/>
          <w:color w:val="143C64"/>
          <w:sz w:val="30"/>
        </w:rPr>
        <w:t>3  Ciclo de vida da tecnologia</w:t>
      </w:r>
    </w:p>
    <w:p>
      <w:pPr>
        <w:spacing w:after="120"/>
        <w:jc w:val="both"/>
      </w:pPr>
      <w:r>
        <w:rPr>
          <w:rFonts w:ascii="Calibri" w:hAnsi="Calibri"/>
          <w:b w:val="0"/>
          <w:i w:val="0"/>
          <w:color w:val="1A1A1A"/>
          <w:sz w:val="24"/>
        </w:rPr>
        <w:t>As dez etapas abaixo formam um ciclo, não uma lista de compras. A etapa 10 realimenta a etapa 1.</w:t>
      </w:r>
    </w:p>
    <w:p>
      <w:pPr>
        <w:pStyle w:val="ListNumber"/>
        <w:spacing w:after="60"/>
        <w:ind w:left="397"/>
        <w:jc w:val="both"/>
      </w:pPr>
      <w:r>
        <w:rPr>
          <w:rFonts w:ascii="Calibri" w:hAnsi="Calibri"/>
          <w:color w:val="1A1A1A"/>
          <w:sz w:val="24"/>
        </w:rPr>
        <w:t>Definir a necessidade clínica e o benefício esperado, antes de avaliar qualquer produto.</w:t>
      </w:r>
    </w:p>
    <w:p>
      <w:pPr>
        <w:pStyle w:val="ListNumber"/>
        <w:spacing w:after="60"/>
        <w:ind w:left="397"/>
        <w:jc w:val="both"/>
      </w:pPr>
      <w:r>
        <w:rPr>
          <w:rFonts w:ascii="Calibri" w:hAnsi="Calibri"/>
          <w:color w:val="1A1A1A"/>
          <w:sz w:val="24"/>
        </w:rPr>
        <w:t>Verificar regularização e instruções de uso nas bases oficiais, registrando a data.</w:t>
      </w:r>
    </w:p>
    <w:p>
      <w:pPr>
        <w:pStyle w:val="ListNumber"/>
        <w:spacing w:after="60"/>
        <w:ind w:left="397"/>
        <w:jc w:val="both"/>
      </w:pPr>
      <w:r>
        <w:rPr>
          <w:rFonts w:ascii="Calibri" w:hAnsi="Calibri"/>
          <w:color w:val="1A1A1A"/>
          <w:sz w:val="24"/>
        </w:rPr>
        <w:t>Verificar certificação de conformidade quando aplicável ao equipamento.</w:t>
      </w:r>
    </w:p>
    <w:p>
      <w:pPr>
        <w:pStyle w:val="ListNumber"/>
        <w:spacing w:after="60"/>
        <w:ind w:left="397"/>
        <w:jc w:val="both"/>
      </w:pPr>
      <w:r>
        <w:rPr>
          <w:rFonts w:ascii="Calibri" w:hAnsi="Calibri"/>
          <w:color w:val="1A1A1A"/>
          <w:sz w:val="24"/>
        </w:rPr>
        <w:t>Submeter a tecnologia à Matriz de Avaliação em oito dimensões e arquivar o parecer.</w:t>
      </w:r>
    </w:p>
    <w:p>
      <w:pPr>
        <w:pStyle w:val="ListNumber"/>
        <w:spacing w:after="60"/>
        <w:ind w:left="397"/>
        <w:jc w:val="both"/>
      </w:pPr>
      <w:r>
        <w:rPr>
          <w:rFonts w:ascii="Calibri" w:hAnsi="Calibri"/>
          <w:color w:val="1A1A1A"/>
          <w:sz w:val="24"/>
        </w:rPr>
        <w:t>Constituir o dossiê individual do equipamento ou tecnologia.</w:t>
      </w:r>
    </w:p>
    <w:p>
      <w:pPr>
        <w:pStyle w:val="ListNumber"/>
        <w:spacing w:after="60"/>
        <w:ind w:left="397"/>
        <w:jc w:val="both"/>
      </w:pPr>
      <w:r>
        <w:rPr>
          <w:rFonts w:ascii="Calibri" w:hAnsi="Calibri"/>
          <w:color w:val="1A1A1A"/>
          <w:sz w:val="24"/>
        </w:rPr>
        <w:t>Definir plano de manutenção, verificação de desempenho e calibração conforme fabricante, norma aplicável e Plano de Gerenciamento do serviço.</w:t>
      </w:r>
    </w:p>
    <w:p>
      <w:pPr>
        <w:pStyle w:val="ListNumber"/>
        <w:spacing w:after="60"/>
        <w:ind w:left="397"/>
        <w:jc w:val="both"/>
      </w:pPr>
      <w:r>
        <w:rPr>
          <w:rFonts w:ascii="Calibri" w:hAnsi="Calibri"/>
          <w:color w:val="1A1A1A"/>
          <w:sz w:val="24"/>
        </w:rPr>
        <w:t>Treinar os profissionais e registrar a capacitação com conteúdo, data e avaliação.</w:t>
      </w:r>
    </w:p>
    <w:p>
      <w:pPr>
        <w:pStyle w:val="ListNumber"/>
        <w:spacing w:after="60"/>
        <w:ind w:left="397"/>
        <w:jc w:val="both"/>
      </w:pPr>
      <w:r>
        <w:rPr>
          <w:rFonts w:ascii="Calibri" w:hAnsi="Calibri"/>
          <w:color w:val="1A1A1A"/>
          <w:sz w:val="24"/>
        </w:rPr>
        <w:t>Operar conforme POP, com rastreabilidade de lote, região e parâmetros.</w:t>
      </w:r>
    </w:p>
    <w:p>
      <w:pPr>
        <w:pStyle w:val="ListNumber"/>
        <w:spacing w:after="60"/>
        <w:ind w:left="397"/>
        <w:jc w:val="both"/>
      </w:pPr>
      <w:r>
        <w:rPr>
          <w:rFonts w:ascii="Calibri" w:hAnsi="Calibri"/>
          <w:color w:val="1A1A1A"/>
          <w:sz w:val="24"/>
        </w:rPr>
        <w:t>Monitorar falhas, queixas técnicas e eventos adversos, com fluxo de notificação definido.</w:t>
      </w:r>
    </w:p>
    <w:p>
      <w:pPr>
        <w:pStyle w:val="ListNumber"/>
        <w:spacing w:after="60"/>
        <w:ind w:left="397"/>
        <w:jc w:val="both"/>
      </w:pPr>
      <w:r>
        <w:rPr>
          <w:rFonts w:ascii="Calibri" w:hAnsi="Calibri"/>
          <w:color w:val="1A1A1A"/>
          <w:sz w:val="24"/>
        </w:rPr>
        <w:t>Reavaliar periodicamente efetividade, risco e necessidade de permanência no serviço, quarentenando ou retirando de uso quando houver falha, alerta ou manutenção pendente.</w:t>
      </w:r>
    </w:p>
    <w:p>
      <w:pPr>
        <w:keepNext/>
        <w:spacing w:before="240" w:after="80"/>
        <w:jc w:val="left"/>
      </w:pPr>
      <w:r>
        <w:rPr>
          <w:rFonts w:ascii="Calibri" w:hAnsi="Calibri"/>
          <w:b/>
          <w:color w:val="143C64"/>
          <w:sz w:val="26"/>
        </w:rPr>
        <w:t>3.1  Qualificação e educação continuada</w:t>
      </w:r>
    </w:p>
    <w:p>
      <w:pPr>
        <w:spacing w:after="120"/>
        <w:jc w:val="both"/>
      </w:pPr>
      <w:r>
        <w:rPr>
          <w:rFonts w:ascii="Calibri" w:hAnsi="Calibri"/>
          <w:b w:val="0"/>
          <w:i w:val="0"/>
          <w:color w:val="1A1A1A"/>
          <w:sz w:val="24"/>
        </w:rPr>
        <w:t>A etapa 7 do ciclo não se esgota no treinamento inicial. Capacitação sem manutenção perde validade na mesma velocidade em que a tecnologia muda, e a dimensão 7 da Matriz de Avaliação Tecnológica pergunta exatamente por isso.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993"/>
        <w:gridCol w:w="3060"/>
        <w:gridCol w:w="3019"/>
      </w:tblGrid>
      <w:tr>
        <w:trPr>
          <w:cantSplit/>
          <w:tblHeader/>
        </w:trPr>
        <w:tc>
          <w:tcPr>
            <w:tcW w:type="dxa" w:w="2993"/>
            <w:shd w:val="clear" w:color="auto" w:fill="143C64"/>
          </w:tcPr>
          <w:p>
            <w:pPr>
              <w:spacing w:after="0"/>
              <w:jc w:val="left"/>
            </w:pPr>
            <w:r/>
            <w:r>
              <w:rPr>
                <w:rFonts w:ascii="Calibri" w:hAnsi="Calibri"/>
                <w:b/>
                <w:color w:val="FFFFFF"/>
                <w:sz w:val="24"/>
              </w:rPr>
              <w:t>Elemento</w:t>
            </w:r>
          </w:p>
        </w:tc>
        <w:tc>
          <w:tcPr>
            <w:tcW w:type="dxa" w:w="3060"/>
            <w:shd w:val="clear" w:color="auto" w:fill="143C64"/>
          </w:tcPr>
          <w:p>
            <w:pPr>
              <w:spacing w:after="0"/>
              <w:jc w:val="left"/>
            </w:pPr>
            <w:r/>
            <w:r>
              <w:rPr>
                <w:rFonts w:ascii="Calibri" w:hAnsi="Calibri"/>
                <w:b/>
                <w:color w:val="FFFFFF"/>
                <w:sz w:val="24"/>
              </w:rPr>
              <w:t>Conteúdo mínimo</w:t>
            </w:r>
          </w:p>
        </w:tc>
        <w:tc>
          <w:tcPr>
            <w:tcW w:type="dxa" w:w="3019"/>
            <w:shd w:val="clear" w:color="auto" w:fill="143C64"/>
          </w:tcPr>
          <w:p>
            <w:pPr>
              <w:spacing w:after="0"/>
              <w:jc w:val="left"/>
            </w:pPr>
            <w:r/>
            <w:r>
              <w:rPr>
                <w:rFonts w:ascii="Calibri" w:hAnsi="Calibri"/>
                <w:b/>
                <w:color w:val="FFFFFF"/>
                <w:sz w:val="24"/>
              </w:rPr>
              <w:t>Registro</w:t>
            </w:r>
          </w:p>
        </w:tc>
      </w:tr>
      <w:tr>
        <w:trPr>
          <w:cantSplit/>
        </w:trPr>
        <w:tc>
          <w:tcPr>
            <w:tcW w:type="dxa" w:w="2993"/>
          </w:tcPr>
          <w:p>
            <w:pPr>
              <w:spacing w:after="0"/>
              <w:jc w:val="left"/>
            </w:pPr>
            <w:r/>
            <w:r>
              <w:rPr>
                <w:rFonts w:ascii="Calibri" w:hAnsi="Calibri"/>
                <w:b w:val="0"/>
                <w:color w:val="1A1A1A"/>
                <w:sz w:val="24"/>
              </w:rPr>
              <w:t>Treinamento inicial</w:t>
            </w:r>
          </w:p>
        </w:tc>
        <w:tc>
          <w:tcPr>
            <w:tcW w:type="dxa" w:w="3060"/>
          </w:tcPr>
          <w:p>
            <w:pPr>
              <w:spacing w:after="0"/>
              <w:jc w:val="left"/>
            </w:pPr>
            <w:r/>
            <w:r>
              <w:rPr>
                <w:rFonts w:ascii="Calibri" w:hAnsi="Calibri"/>
                <w:b w:val="0"/>
                <w:color w:val="1A1A1A"/>
                <w:sz w:val="24"/>
              </w:rPr>
              <w:t>Conteúdo teórico e prático, instrutor, carga horária e avaliação de competência.</w:t>
            </w:r>
          </w:p>
        </w:tc>
        <w:tc>
          <w:tcPr>
            <w:tcW w:type="dxa" w:w="3019"/>
          </w:tcPr>
          <w:p>
            <w:pPr>
              <w:spacing w:after="0"/>
              <w:jc w:val="left"/>
            </w:pPr>
            <w:r/>
            <w:r>
              <w:rPr>
                <w:rFonts w:ascii="Calibri" w:hAnsi="Calibri"/>
                <w:b w:val="0"/>
                <w:color w:val="1A1A1A"/>
                <w:sz w:val="24"/>
              </w:rPr>
              <w:t>Lista de presença, conteúdo programático e resultado da avaliação.</w:t>
            </w:r>
          </w:p>
        </w:tc>
      </w:tr>
      <w:tr>
        <w:trPr>
          <w:cantSplit/>
        </w:trPr>
        <w:tc>
          <w:tcPr>
            <w:tcW w:type="dxa" w:w="2993"/>
            <w:shd w:val="clear" w:color="auto" w:fill="F2F5F8"/>
          </w:tcPr>
          <w:p>
            <w:pPr>
              <w:spacing w:after="0"/>
              <w:jc w:val="left"/>
            </w:pPr>
            <w:r/>
            <w:r>
              <w:rPr>
                <w:rFonts w:ascii="Calibri" w:hAnsi="Calibri"/>
                <w:b w:val="0"/>
                <w:color w:val="1A1A1A"/>
                <w:sz w:val="24"/>
              </w:rPr>
              <w:t>Atualização periódica</w:t>
            </w:r>
          </w:p>
        </w:tc>
        <w:tc>
          <w:tcPr>
            <w:tcW w:type="dxa" w:w="3060"/>
            <w:shd w:val="clear" w:color="auto" w:fill="F2F5F8"/>
          </w:tcPr>
          <w:p>
            <w:pPr>
              <w:spacing w:after="0"/>
              <w:jc w:val="left"/>
            </w:pPr>
            <w:r/>
            <w:r>
              <w:rPr>
                <w:rFonts w:ascii="Calibri" w:hAnsi="Calibri"/>
                <w:b w:val="0"/>
                <w:color w:val="1A1A1A"/>
                <w:sz w:val="24"/>
              </w:rPr>
              <w:t>Revisão de técnica, de evidência e de instruções do fabricante, com periodicidade definida por risco da tecnologia.</w:t>
            </w:r>
          </w:p>
        </w:tc>
        <w:tc>
          <w:tcPr>
            <w:tcW w:type="dxa" w:w="3019"/>
            <w:shd w:val="clear" w:color="auto" w:fill="F2F5F8"/>
          </w:tcPr>
          <w:p>
            <w:pPr>
              <w:spacing w:after="0"/>
              <w:jc w:val="left"/>
            </w:pPr>
            <w:r/>
            <w:r>
              <w:rPr>
                <w:rFonts w:ascii="Calibri" w:hAnsi="Calibri"/>
                <w:b w:val="0"/>
                <w:color w:val="1A1A1A"/>
                <w:sz w:val="24"/>
              </w:rPr>
              <w:t>Data, conteúdo e participantes.</w:t>
            </w:r>
          </w:p>
        </w:tc>
      </w:tr>
      <w:tr>
        <w:trPr>
          <w:cantSplit/>
        </w:trPr>
        <w:tc>
          <w:tcPr>
            <w:tcW w:type="dxa" w:w="2993"/>
          </w:tcPr>
          <w:p>
            <w:pPr>
              <w:spacing w:after="0"/>
              <w:jc w:val="left"/>
            </w:pPr>
            <w:r/>
            <w:r>
              <w:rPr>
                <w:rFonts w:ascii="Calibri" w:hAnsi="Calibri"/>
                <w:b w:val="0"/>
                <w:color w:val="1A1A1A"/>
                <w:sz w:val="24"/>
              </w:rPr>
              <w:t>Atualização por evento</w:t>
            </w:r>
          </w:p>
        </w:tc>
        <w:tc>
          <w:tcPr>
            <w:tcW w:type="dxa" w:w="3060"/>
          </w:tcPr>
          <w:p>
            <w:pPr>
              <w:spacing w:after="0"/>
              <w:jc w:val="left"/>
            </w:pPr>
            <w:r/>
            <w:r>
              <w:rPr>
                <w:rFonts w:ascii="Calibri" w:hAnsi="Calibri"/>
                <w:b w:val="0"/>
                <w:color w:val="1A1A1A"/>
                <w:sz w:val="24"/>
              </w:rPr>
              <w:t>Reciclagem obrigatória diante de nova versão do equipamento, alerta de segurança, recolhimento ou intercorrência ocorrida no serviço.</w:t>
            </w:r>
          </w:p>
        </w:tc>
        <w:tc>
          <w:tcPr>
            <w:tcW w:type="dxa" w:w="3019"/>
          </w:tcPr>
          <w:p>
            <w:pPr>
              <w:spacing w:after="0"/>
              <w:jc w:val="left"/>
            </w:pPr>
            <w:r/>
            <w:r>
              <w:rPr>
                <w:rFonts w:ascii="Calibri" w:hAnsi="Calibri"/>
                <w:b w:val="0"/>
                <w:color w:val="1A1A1A"/>
                <w:sz w:val="24"/>
              </w:rPr>
              <w:t>Motivo do gatilho e ação adotada.</w:t>
            </w:r>
          </w:p>
        </w:tc>
      </w:tr>
      <w:tr>
        <w:trPr>
          <w:cantSplit/>
        </w:trPr>
        <w:tc>
          <w:tcPr>
            <w:tcW w:type="dxa" w:w="2993"/>
            <w:shd w:val="clear" w:color="auto" w:fill="F2F5F8"/>
          </w:tcPr>
          <w:p>
            <w:pPr>
              <w:spacing w:after="0"/>
              <w:jc w:val="left"/>
            </w:pPr>
            <w:r/>
            <w:r>
              <w:rPr>
                <w:rFonts w:ascii="Calibri" w:hAnsi="Calibri"/>
                <w:b w:val="0"/>
                <w:color w:val="1A1A1A"/>
                <w:sz w:val="24"/>
              </w:rPr>
              <w:t>Acompanhamento da literatura</w:t>
            </w:r>
          </w:p>
        </w:tc>
        <w:tc>
          <w:tcPr>
            <w:tcW w:type="dxa" w:w="3060"/>
            <w:shd w:val="clear" w:color="auto" w:fill="F2F5F8"/>
          </w:tcPr>
          <w:p>
            <w:pPr>
              <w:spacing w:after="0"/>
              <w:jc w:val="left"/>
            </w:pPr>
            <w:r/>
            <w:r>
              <w:rPr>
                <w:rFonts w:ascii="Calibri" w:hAnsi="Calibri"/>
                <w:b w:val="0"/>
                <w:color w:val="1A1A1A"/>
                <w:sz w:val="24"/>
              </w:rPr>
              <w:t>Revisão periódica de literatura e de protocolos aplicáveis à tecnologia em uso.</w:t>
            </w:r>
          </w:p>
        </w:tc>
        <w:tc>
          <w:tcPr>
            <w:tcW w:type="dxa" w:w="3019"/>
            <w:shd w:val="clear" w:color="auto" w:fill="F2F5F8"/>
          </w:tcPr>
          <w:p>
            <w:pPr>
              <w:spacing w:after="0"/>
              <w:jc w:val="left"/>
            </w:pPr>
            <w:r/>
            <w:r>
              <w:rPr>
                <w:rFonts w:ascii="Calibri" w:hAnsi="Calibri"/>
                <w:b w:val="0"/>
                <w:color w:val="1A1A1A"/>
                <w:sz w:val="24"/>
              </w:rPr>
              <w:t>Fontes consultadas e data.</w:t>
            </w:r>
          </w:p>
        </w:tc>
      </w:tr>
      <w:tr>
        <w:trPr>
          <w:cantSplit/>
        </w:trPr>
        <w:tc>
          <w:tcPr>
            <w:tcW w:type="dxa" w:w="2993"/>
          </w:tcPr>
          <w:p>
            <w:pPr>
              <w:spacing w:after="0"/>
              <w:jc w:val="left"/>
            </w:pPr>
            <w:r/>
            <w:r>
              <w:rPr>
                <w:rFonts w:ascii="Calibri" w:hAnsi="Calibri"/>
                <w:b w:val="0"/>
                <w:color w:val="1A1A1A"/>
                <w:sz w:val="24"/>
              </w:rPr>
              <w:t>Novo integrante</w:t>
            </w:r>
          </w:p>
        </w:tc>
        <w:tc>
          <w:tcPr>
            <w:tcW w:type="dxa" w:w="3060"/>
          </w:tcPr>
          <w:p>
            <w:pPr>
              <w:spacing w:after="0"/>
              <w:jc w:val="left"/>
            </w:pPr>
            <w:r/>
            <w:r>
              <w:rPr>
                <w:rFonts w:ascii="Calibri" w:hAnsi="Calibri"/>
                <w:b w:val="0"/>
                <w:color w:val="1A1A1A"/>
                <w:sz w:val="24"/>
              </w:rPr>
              <w:t>Capacitação antes da primeira operação, sem exceção.</w:t>
            </w:r>
          </w:p>
        </w:tc>
        <w:tc>
          <w:tcPr>
            <w:tcW w:type="dxa" w:w="3019"/>
          </w:tcPr>
          <w:p>
            <w:pPr>
              <w:spacing w:after="0"/>
              <w:jc w:val="left"/>
            </w:pPr>
            <w:r/>
            <w:r>
              <w:rPr>
                <w:rFonts w:ascii="Calibri" w:hAnsi="Calibri"/>
                <w:b w:val="0"/>
                <w:color w:val="1A1A1A"/>
                <w:sz w:val="24"/>
              </w:rPr>
              <w:t>Registro assinado antes da liberação para uso.</w:t>
            </w:r>
          </w:p>
        </w:tc>
      </w:tr>
    </w:tbl>
    <w:p>
      <w:pPr>
        <w:keepNext/>
        <w:spacing w:before="360" w:after="160"/>
        <w:jc w:val="left"/>
        <w:pBdr>
          <w:bottom w:val="single" w:sz="8" w:space="4" w:color="143C64"/>
        </w:pBdr>
      </w:pPr>
      <w:r>
        <w:rPr>
          <w:rFonts w:ascii="Calibri" w:hAnsi="Calibri"/>
          <w:b/>
          <w:color w:val="143C64"/>
          <w:sz w:val="30"/>
        </w:rPr>
        <w:t>4  Dossiê mínimo por tecnologia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41"/>
        <w:gridCol w:w="5331"/>
      </w:tblGrid>
      <w:tr>
        <w:trPr>
          <w:cantSplit/>
          <w:tblHeader/>
        </w:trPr>
        <w:tc>
          <w:tcPr>
            <w:tcW w:type="dxa" w:w="3741"/>
            <w:shd w:val="clear" w:color="auto" w:fill="143C64"/>
          </w:tcPr>
          <w:p>
            <w:pPr>
              <w:spacing w:after="0"/>
              <w:jc w:val="left"/>
            </w:pPr>
            <w:r/>
            <w:r>
              <w:rPr>
                <w:rFonts w:ascii="Calibri" w:hAnsi="Calibri"/>
                <w:b/>
                <w:color w:val="FFFFFF"/>
                <w:sz w:val="24"/>
              </w:rPr>
              <w:t>Bloco</w:t>
            </w:r>
          </w:p>
        </w:tc>
        <w:tc>
          <w:tcPr>
            <w:tcW w:type="dxa" w:w="5331"/>
            <w:shd w:val="clear" w:color="auto" w:fill="143C64"/>
          </w:tcPr>
          <w:p>
            <w:pPr>
              <w:spacing w:after="0"/>
              <w:jc w:val="left"/>
            </w:pPr>
            <w:r/>
            <w:r>
              <w:rPr>
                <w:rFonts w:ascii="Calibri" w:hAnsi="Calibri"/>
                <w:b/>
                <w:color w:val="FFFFFF"/>
                <w:sz w:val="24"/>
              </w:rPr>
              <w:t>Campos obrigatórios</w:t>
            </w:r>
          </w:p>
        </w:tc>
      </w:tr>
      <w:tr>
        <w:trPr>
          <w:cantSplit/>
        </w:trPr>
        <w:tc>
          <w:tcPr>
            <w:tcW w:type="dxa" w:w="3741"/>
          </w:tcPr>
          <w:p>
            <w:pPr>
              <w:spacing w:after="0"/>
              <w:jc w:val="left"/>
            </w:pPr>
            <w:r/>
            <w:r>
              <w:rPr>
                <w:rFonts w:ascii="Calibri" w:hAnsi="Calibri"/>
                <w:b/>
                <w:color w:val="1A1A1A"/>
                <w:sz w:val="24"/>
              </w:rPr>
              <w:t>Identificação</w:t>
            </w:r>
          </w:p>
        </w:tc>
        <w:tc>
          <w:tcPr>
            <w:tcW w:type="dxa" w:w="5331"/>
          </w:tcPr>
          <w:p>
            <w:pPr>
              <w:spacing w:after="0"/>
              <w:jc w:val="left"/>
            </w:pPr>
            <w:r/>
            <w:r>
              <w:rPr>
                <w:rFonts w:ascii="Calibri" w:hAnsi="Calibri"/>
                <w:b w:val="0"/>
                <w:color w:val="1A1A1A"/>
                <w:sz w:val="24"/>
              </w:rPr>
              <w:t>Nome genérico e comercial, modelo, fabricante, importador ou detentor, número de série e patrimônio.</w:t>
            </w:r>
          </w:p>
        </w:tc>
      </w:tr>
      <w:tr>
        <w:trPr>
          <w:cantSplit/>
        </w:trPr>
        <w:tc>
          <w:tcPr>
            <w:tcW w:type="dxa" w:w="3741"/>
            <w:shd w:val="clear" w:color="auto" w:fill="F2F5F8"/>
          </w:tcPr>
          <w:p>
            <w:pPr>
              <w:spacing w:after="0"/>
              <w:jc w:val="left"/>
            </w:pPr>
            <w:r/>
            <w:r>
              <w:rPr>
                <w:rFonts w:ascii="Calibri" w:hAnsi="Calibri"/>
                <w:b/>
                <w:color w:val="1A1A1A"/>
                <w:sz w:val="24"/>
              </w:rPr>
              <w:t>Regularização</w:t>
            </w:r>
          </w:p>
        </w:tc>
        <w:tc>
          <w:tcPr>
            <w:tcW w:type="dxa" w:w="5331"/>
            <w:shd w:val="clear" w:color="auto" w:fill="F2F5F8"/>
          </w:tcPr>
          <w:p>
            <w:pPr>
              <w:spacing w:after="0"/>
              <w:jc w:val="left"/>
            </w:pPr>
            <w:r/>
            <w:r>
              <w:rPr>
                <w:rFonts w:ascii="Calibri" w:hAnsi="Calibri"/>
                <w:b w:val="0"/>
                <w:color w:val="1A1A1A"/>
                <w:sz w:val="24"/>
              </w:rPr>
              <w:t>Número na Anvisa, situação, classe de risco, finalidade aprovada, evidência da consulta, data e responsável pela verificação.</w:t>
            </w:r>
          </w:p>
        </w:tc>
      </w:tr>
      <w:tr>
        <w:trPr>
          <w:cantSplit/>
        </w:trPr>
        <w:tc>
          <w:tcPr>
            <w:tcW w:type="dxa" w:w="3741"/>
          </w:tcPr>
          <w:p>
            <w:pPr>
              <w:spacing w:after="0"/>
              <w:jc w:val="left"/>
            </w:pPr>
            <w:r/>
            <w:r>
              <w:rPr>
                <w:rFonts w:ascii="Calibri" w:hAnsi="Calibri"/>
                <w:b/>
                <w:color w:val="1A1A1A"/>
                <w:sz w:val="24"/>
              </w:rPr>
              <w:t>Conformidade</w:t>
            </w:r>
          </w:p>
        </w:tc>
        <w:tc>
          <w:tcPr>
            <w:tcW w:type="dxa" w:w="5331"/>
          </w:tcPr>
          <w:p>
            <w:pPr>
              <w:spacing w:after="0"/>
              <w:jc w:val="left"/>
            </w:pPr>
            <w:r/>
            <w:r>
              <w:rPr>
                <w:rFonts w:ascii="Calibri" w:hAnsi="Calibri"/>
                <w:b w:val="0"/>
                <w:color w:val="1A1A1A"/>
                <w:sz w:val="24"/>
              </w:rPr>
              <w:t>Certificação ou declaração aplicável, escopo da avaliação da conformidade quando pertinente, normas informadas e documentos de segurança elétrica.</w:t>
            </w:r>
          </w:p>
        </w:tc>
      </w:tr>
      <w:tr>
        <w:trPr>
          <w:cantSplit/>
        </w:trPr>
        <w:tc>
          <w:tcPr>
            <w:tcW w:type="dxa" w:w="3741"/>
            <w:shd w:val="clear" w:color="auto" w:fill="F2F5F8"/>
          </w:tcPr>
          <w:p>
            <w:pPr>
              <w:spacing w:after="0"/>
              <w:jc w:val="left"/>
            </w:pPr>
            <w:r/>
            <w:r>
              <w:rPr>
                <w:rFonts w:ascii="Calibri" w:hAnsi="Calibri"/>
                <w:b/>
                <w:color w:val="1A1A1A"/>
                <w:sz w:val="24"/>
              </w:rPr>
              <w:t>Aquisição e instalação</w:t>
            </w:r>
          </w:p>
        </w:tc>
        <w:tc>
          <w:tcPr>
            <w:tcW w:type="dxa" w:w="5331"/>
            <w:shd w:val="clear" w:color="auto" w:fill="F2F5F8"/>
          </w:tcPr>
          <w:p>
            <w:pPr>
              <w:spacing w:after="0"/>
              <w:jc w:val="left"/>
            </w:pPr>
            <w:r/>
            <w:r>
              <w:rPr>
                <w:rFonts w:ascii="Calibri" w:hAnsi="Calibri"/>
                <w:b w:val="0"/>
                <w:color w:val="1A1A1A"/>
                <w:sz w:val="24"/>
              </w:rPr>
              <w:t>Fornecedor, nota fiscal, recebimento, integridade, teste de aceitação, instalação, local e requisitos elétricos e ambientais.</w:t>
            </w:r>
          </w:p>
        </w:tc>
      </w:tr>
      <w:tr>
        <w:trPr>
          <w:cantSplit/>
        </w:trPr>
        <w:tc>
          <w:tcPr>
            <w:tcW w:type="dxa" w:w="3741"/>
          </w:tcPr>
          <w:p>
            <w:pPr>
              <w:spacing w:after="0"/>
              <w:jc w:val="left"/>
            </w:pPr>
            <w:r/>
            <w:r>
              <w:rPr>
                <w:rFonts w:ascii="Calibri" w:hAnsi="Calibri"/>
                <w:b/>
                <w:color w:val="1A1A1A"/>
                <w:sz w:val="24"/>
              </w:rPr>
              <w:t>Parecer do Núcleo</w:t>
            </w:r>
          </w:p>
        </w:tc>
        <w:tc>
          <w:tcPr>
            <w:tcW w:type="dxa" w:w="5331"/>
          </w:tcPr>
          <w:p>
            <w:pPr>
              <w:spacing w:after="0"/>
              <w:jc w:val="left"/>
            </w:pPr>
            <w:r/>
            <w:r>
              <w:rPr>
                <w:rFonts w:ascii="Calibri" w:hAnsi="Calibri"/>
                <w:b w:val="0"/>
                <w:color w:val="1A1A1A"/>
                <w:sz w:val="24"/>
              </w:rPr>
              <w:t>Aplicação da Matriz de Avaliação em oito dimensões, com conclusão, condições e data de reavaliação.</w:t>
            </w:r>
          </w:p>
        </w:tc>
      </w:tr>
      <w:tr>
        <w:trPr>
          <w:cantSplit/>
        </w:trPr>
        <w:tc>
          <w:tcPr>
            <w:tcW w:type="dxa" w:w="3741"/>
            <w:shd w:val="clear" w:color="auto" w:fill="F2F5F8"/>
          </w:tcPr>
          <w:p>
            <w:pPr>
              <w:spacing w:after="0"/>
              <w:jc w:val="left"/>
            </w:pPr>
            <w:r/>
            <w:r>
              <w:rPr>
                <w:rFonts w:ascii="Calibri" w:hAnsi="Calibri"/>
                <w:b/>
                <w:color w:val="1A1A1A"/>
                <w:sz w:val="24"/>
              </w:rPr>
              <w:t>Treinamento</w:t>
            </w:r>
          </w:p>
        </w:tc>
        <w:tc>
          <w:tcPr>
            <w:tcW w:type="dxa" w:w="5331"/>
            <w:shd w:val="clear" w:color="auto" w:fill="F2F5F8"/>
          </w:tcPr>
          <w:p>
            <w:pPr>
              <w:spacing w:after="0"/>
              <w:jc w:val="left"/>
            </w:pPr>
            <w:r/>
            <w:r>
              <w:rPr>
                <w:rFonts w:ascii="Calibri" w:hAnsi="Calibri"/>
                <w:b w:val="0"/>
                <w:color w:val="1A1A1A"/>
                <w:sz w:val="24"/>
              </w:rPr>
              <w:t>Conteúdo, data, instrutor, participantes, avaliação de competência e reciclagem.</w:t>
            </w:r>
          </w:p>
        </w:tc>
      </w:tr>
      <w:tr>
        <w:trPr>
          <w:cantSplit/>
        </w:trPr>
        <w:tc>
          <w:tcPr>
            <w:tcW w:type="dxa" w:w="3741"/>
          </w:tcPr>
          <w:p>
            <w:pPr>
              <w:spacing w:after="0"/>
              <w:jc w:val="left"/>
            </w:pPr>
            <w:r/>
            <w:r>
              <w:rPr>
                <w:rFonts w:ascii="Calibri" w:hAnsi="Calibri"/>
                <w:b/>
                <w:color w:val="1A1A1A"/>
                <w:sz w:val="24"/>
              </w:rPr>
              <w:t>Operação</w:t>
            </w:r>
          </w:p>
        </w:tc>
        <w:tc>
          <w:tcPr>
            <w:tcW w:type="dxa" w:w="5331"/>
          </w:tcPr>
          <w:p>
            <w:pPr>
              <w:spacing w:after="0"/>
              <w:jc w:val="left"/>
            </w:pPr>
            <w:r/>
            <w:r>
              <w:rPr>
                <w:rFonts w:ascii="Calibri" w:hAnsi="Calibri"/>
                <w:b w:val="0"/>
                <w:color w:val="1A1A1A"/>
                <w:sz w:val="24"/>
              </w:rPr>
              <w:t>POP vigente, parâmetros autorizados, acessórios, contraindicações, checagem pré-uso e plano de contingência.</w:t>
            </w:r>
          </w:p>
        </w:tc>
      </w:tr>
      <w:tr>
        <w:trPr>
          <w:cantSplit/>
        </w:trPr>
        <w:tc>
          <w:tcPr>
            <w:tcW w:type="dxa" w:w="3741"/>
            <w:shd w:val="clear" w:color="auto" w:fill="F2F5F8"/>
          </w:tcPr>
          <w:p>
            <w:pPr>
              <w:spacing w:after="0"/>
              <w:jc w:val="left"/>
            </w:pPr>
            <w:r/>
            <w:r>
              <w:rPr>
                <w:rFonts w:ascii="Calibri" w:hAnsi="Calibri"/>
                <w:b/>
                <w:color w:val="1A1A1A"/>
                <w:sz w:val="24"/>
              </w:rPr>
              <w:t>Manutenção</w:t>
            </w:r>
          </w:p>
        </w:tc>
        <w:tc>
          <w:tcPr>
            <w:tcW w:type="dxa" w:w="5331"/>
            <w:shd w:val="clear" w:color="auto" w:fill="F2F5F8"/>
          </w:tcPr>
          <w:p>
            <w:pPr>
              <w:spacing w:after="0"/>
              <w:jc w:val="left"/>
            </w:pPr>
            <w:r/>
            <w:r>
              <w:rPr>
                <w:rFonts w:ascii="Calibri" w:hAnsi="Calibri"/>
                <w:b w:val="0"/>
                <w:color w:val="1A1A1A"/>
                <w:sz w:val="24"/>
              </w:rPr>
              <w:t>Plano preventivo, corretivas, calibrações, laudos, assistência, peças, períodos de indisponibilidade e liberação para uso.</w:t>
            </w:r>
          </w:p>
        </w:tc>
      </w:tr>
      <w:tr>
        <w:trPr>
          <w:cantSplit/>
        </w:trPr>
        <w:tc>
          <w:tcPr>
            <w:tcW w:type="dxa" w:w="3741"/>
          </w:tcPr>
          <w:p>
            <w:pPr>
              <w:spacing w:after="0"/>
              <w:jc w:val="left"/>
            </w:pPr>
            <w:r/>
            <w:r>
              <w:rPr>
                <w:rFonts w:ascii="Calibri" w:hAnsi="Calibri"/>
                <w:b/>
                <w:color w:val="1A1A1A"/>
                <w:sz w:val="24"/>
              </w:rPr>
              <w:t>Higiene e processamento</w:t>
            </w:r>
          </w:p>
        </w:tc>
        <w:tc>
          <w:tcPr>
            <w:tcW w:type="dxa" w:w="5331"/>
          </w:tcPr>
          <w:p>
            <w:pPr>
              <w:spacing w:after="0"/>
              <w:jc w:val="left"/>
            </w:pPr>
            <w:r/>
            <w:r>
              <w:rPr>
                <w:rFonts w:ascii="Calibri" w:hAnsi="Calibri"/>
                <w:b w:val="0"/>
                <w:color w:val="1A1A1A"/>
                <w:sz w:val="24"/>
              </w:rPr>
              <w:t>Limpeza, desinfecção, esterilização quando aplicável, produtos compatíveis, frequência e registros.</w:t>
            </w:r>
          </w:p>
        </w:tc>
      </w:tr>
      <w:tr>
        <w:trPr>
          <w:cantSplit/>
        </w:trPr>
        <w:tc>
          <w:tcPr>
            <w:tcW w:type="dxa" w:w="3741"/>
            <w:shd w:val="clear" w:color="auto" w:fill="F2F5F8"/>
          </w:tcPr>
          <w:p>
            <w:pPr>
              <w:spacing w:after="0"/>
              <w:jc w:val="left"/>
            </w:pPr>
            <w:r/>
            <w:r>
              <w:rPr>
                <w:rFonts w:ascii="Calibri" w:hAnsi="Calibri"/>
                <w:b/>
                <w:color w:val="1A1A1A"/>
                <w:sz w:val="24"/>
              </w:rPr>
              <w:t>Segurança</w:t>
            </w:r>
          </w:p>
        </w:tc>
        <w:tc>
          <w:tcPr>
            <w:tcW w:type="dxa" w:w="5331"/>
            <w:shd w:val="clear" w:color="auto" w:fill="F2F5F8"/>
          </w:tcPr>
          <w:p>
            <w:pPr>
              <w:spacing w:after="0"/>
              <w:jc w:val="left"/>
            </w:pPr>
            <w:r/>
            <w:r>
              <w:rPr>
                <w:rFonts w:ascii="Calibri" w:hAnsi="Calibri"/>
                <w:b w:val="0"/>
                <w:color w:val="1A1A1A"/>
                <w:sz w:val="24"/>
              </w:rPr>
              <w:t>Falhas, eventos adversos, alertas, recolhimentos, bloqueio, quarentena e notificação.</w:t>
            </w:r>
          </w:p>
        </w:tc>
      </w:tr>
      <w:tr>
        <w:trPr>
          <w:cantSplit/>
        </w:trPr>
        <w:tc>
          <w:tcPr>
            <w:tcW w:type="dxa" w:w="3741"/>
          </w:tcPr>
          <w:p>
            <w:pPr>
              <w:spacing w:after="0"/>
              <w:jc w:val="left"/>
            </w:pPr>
            <w:r/>
            <w:r>
              <w:rPr>
                <w:rFonts w:ascii="Calibri" w:hAnsi="Calibri"/>
                <w:b/>
                <w:color w:val="1A1A1A"/>
                <w:sz w:val="24"/>
              </w:rPr>
              <w:t>Descarte</w:t>
            </w:r>
          </w:p>
        </w:tc>
        <w:tc>
          <w:tcPr>
            <w:tcW w:type="dxa" w:w="5331"/>
          </w:tcPr>
          <w:p>
            <w:pPr>
              <w:spacing w:after="0"/>
              <w:jc w:val="left"/>
            </w:pPr>
            <w:r/>
            <w:r>
              <w:rPr>
                <w:rFonts w:ascii="Calibri" w:hAnsi="Calibri"/>
                <w:b w:val="0"/>
                <w:color w:val="1A1A1A"/>
                <w:sz w:val="24"/>
              </w:rPr>
              <w:t>Critério de obsolescência, descontaminação, baixa patrimonial e destinação adequada.</w:t>
            </w:r>
          </w:p>
        </w:tc>
      </w:tr>
    </w:tbl>
    <w:p>
      <w:pPr>
        <w:keepNext/>
        <w:spacing w:before="360" w:after="160"/>
        <w:jc w:val="left"/>
        <w:pBdr>
          <w:bottom w:val="single" w:sz="8" w:space="4" w:color="143C64"/>
        </w:pBdr>
      </w:pPr>
      <w:r>
        <w:rPr>
          <w:rFonts w:ascii="Calibri" w:hAnsi="Calibri"/>
          <w:b/>
          <w:color w:val="143C64"/>
          <w:sz w:val="30"/>
        </w:rPr>
        <w:t>5  Criticidade e periodicidade</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Conclusão operacional</w:t>
            </w:r>
          </w:p>
          <w:p>
            <w:pPr>
              <w:spacing w:after="0"/>
              <w:jc w:val="both"/>
            </w:pPr>
            <w:r>
              <w:rPr>
                <w:rFonts w:ascii="Calibri" w:hAnsi="Calibri"/>
                <w:color w:val="1A1A1A"/>
                <w:sz w:val="24"/>
              </w:rPr>
              <w:t>Não existe periodicidade única de calibração ou de manutenção aplicável indistintamente a todas as tecnologias de Harmonização Orofacial. O plano deve ser definido por risco, recomendação do fabricante, intensidade de uso, histórico de falhas, condições ambientais, exigência sanitária local, norma técnica aplicável e criticidade da medição ou da energia entregue. O Núcleo produz matriz de periodicidade, não prazo universal. Calibração ou verificação de desempenho da unidade em uso e certificação de conformidade do modelo são controles distintos e complementares, que não se substituem.</w:t>
            </w:r>
          </w:p>
        </w:tc>
      </w:tr>
    </w:tbl>
    <w:p>
      <w:pPr>
        <w:spacing w:after="80"/>
      </w:pP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425"/>
        <w:gridCol w:w="3407"/>
        <w:gridCol w:w="3240"/>
      </w:tblGrid>
      <w:tr>
        <w:trPr>
          <w:cantSplit/>
          <w:tblHeader/>
        </w:trPr>
        <w:tc>
          <w:tcPr>
            <w:tcW w:type="dxa" w:w="2425"/>
            <w:shd w:val="clear" w:color="auto" w:fill="143C64"/>
          </w:tcPr>
          <w:p>
            <w:pPr>
              <w:spacing w:after="0"/>
              <w:jc w:val="left"/>
            </w:pPr>
            <w:r/>
            <w:r>
              <w:rPr>
                <w:rFonts w:ascii="Calibri" w:hAnsi="Calibri"/>
                <w:b/>
                <w:color w:val="FFFFFF"/>
                <w:sz w:val="24"/>
              </w:rPr>
              <w:t>Criticidade</w:t>
            </w:r>
          </w:p>
        </w:tc>
        <w:tc>
          <w:tcPr>
            <w:tcW w:type="dxa" w:w="3407"/>
            <w:shd w:val="clear" w:color="auto" w:fill="143C64"/>
          </w:tcPr>
          <w:p>
            <w:pPr>
              <w:spacing w:after="0"/>
              <w:jc w:val="left"/>
            </w:pPr>
            <w:r/>
            <w:r>
              <w:rPr>
                <w:rFonts w:ascii="Calibri" w:hAnsi="Calibri"/>
                <w:b/>
                <w:color w:val="FFFFFF"/>
                <w:sz w:val="24"/>
              </w:rPr>
              <w:t>Exemplos</w:t>
            </w:r>
          </w:p>
        </w:tc>
        <w:tc>
          <w:tcPr>
            <w:tcW w:type="dxa" w:w="3240"/>
            <w:shd w:val="clear" w:color="auto" w:fill="143C64"/>
          </w:tcPr>
          <w:p>
            <w:pPr>
              <w:spacing w:after="0"/>
              <w:jc w:val="left"/>
            </w:pPr>
            <w:r/>
            <w:r>
              <w:rPr>
                <w:rFonts w:ascii="Calibri" w:hAnsi="Calibri"/>
                <w:b/>
                <w:color w:val="FFFFFF"/>
                <w:sz w:val="24"/>
              </w:rPr>
              <w:t>Gestão proposta</w:t>
            </w:r>
          </w:p>
        </w:tc>
      </w:tr>
      <w:tr>
        <w:trPr>
          <w:cantSplit/>
        </w:trPr>
        <w:tc>
          <w:tcPr>
            <w:tcW w:type="dxa" w:w="2425"/>
          </w:tcPr>
          <w:p>
            <w:pPr>
              <w:spacing w:after="0"/>
              <w:jc w:val="left"/>
            </w:pPr>
            <w:r/>
            <w:r>
              <w:rPr>
                <w:rFonts w:ascii="Calibri" w:hAnsi="Calibri"/>
                <w:b/>
                <w:color w:val="1A1A1A"/>
                <w:sz w:val="24"/>
              </w:rPr>
              <w:t>Crítica</w:t>
            </w:r>
          </w:p>
        </w:tc>
        <w:tc>
          <w:tcPr>
            <w:tcW w:type="dxa" w:w="3407"/>
          </w:tcPr>
          <w:p>
            <w:pPr>
              <w:spacing w:after="0"/>
              <w:jc w:val="left"/>
            </w:pPr>
            <w:r/>
            <w:r>
              <w:rPr>
                <w:rFonts w:ascii="Calibri" w:hAnsi="Calibri"/>
                <w:b w:val="0"/>
                <w:color w:val="1A1A1A"/>
                <w:sz w:val="24"/>
              </w:rPr>
              <w:t>Equipamentos que entregam energia, calor, laser, radiofrequência, ultrassom terapêutico, sucção ou corrente elétrica ao paciente.</w:t>
            </w:r>
          </w:p>
        </w:tc>
        <w:tc>
          <w:tcPr>
            <w:tcW w:type="dxa" w:w="3240"/>
          </w:tcPr>
          <w:p>
            <w:pPr>
              <w:spacing w:after="0"/>
              <w:jc w:val="left"/>
            </w:pPr>
            <w:r/>
            <w:r>
              <w:rPr>
                <w:rFonts w:ascii="Calibri" w:hAnsi="Calibri"/>
                <w:b w:val="0"/>
                <w:color w:val="1A1A1A"/>
                <w:sz w:val="24"/>
              </w:rPr>
              <w:t>Teste de aceitação, manutenção preventiva formal, checagem pré-uso, avaliação após falha, queda, transporte ou atualização, calibração e ensaios quando aplicáveis.</w:t>
            </w:r>
          </w:p>
        </w:tc>
      </w:tr>
      <w:tr>
        <w:trPr>
          <w:cantSplit/>
        </w:trPr>
        <w:tc>
          <w:tcPr>
            <w:tcW w:type="dxa" w:w="2425"/>
            <w:shd w:val="clear" w:color="auto" w:fill="F2F5F8"/>
          </w:tcPr>
          <w:p>
            <w:pPr>
              <w:spacing w:after="0"/>
              <w:jc w:val="left"/>
            </w:pPr>
            <w:r/>
            <w:r>
              <w:rPr>
                <w:rFonts w:ascii="Calibri" w:hAnsi="Calibri"/>
                <w:b/>
                <w:color w:val="1A1A1A"/>
                <w:sz w:val="24"/>
              </w:rPr>
              <w:t>Alta</w:t>
            </w:r>
          </w:p>
        </w:tc>
        <w:tc>
          <w:tcPr>
            <w:tcW w:type="dxa" w:w="3407"/>
            <w:shd w:val="clear" w:color="auto" w:fill="F2F5F8"/>
          </w:tcPr>
          <w:p>
            <w:pPr>
              <w:spacing w:after="0"/>
              <w:jc w:val="left"/>
            </w:pPr>
            <w:r/>
            <w:r>
              <w:rPr>
                <w:rFonts w:ascii="Calibri" w:hAnsi="Calibri"/>
                <w:b w:val="0"/>
                <w:color w:val="1A1A1A"/>
                <w:sz w:val="24"/>
              </w:rPr>
              <w:t>Ultrassom diagnóstico, Doppler, equipamentos de mensuração, autoclaves e seladoras.</w:t>
            </w:r>
          </w:p>
        </w:tc>
        <w:tc>
          <w:tcPr>
            <w:tcW w:type="dxa" w:w="3240"/>
            <w:shd w:val="clear" w:color="auto" w:fill="F2F5F8"/>
          </w:tcPr>
          <w:p>
            <w:pPr>
              <w:spacing w:after="0"/>
              <w:jc w:val="left"/>
            </w:pPr>
            <w:r/>
            <w:r>
              <w:rPr>
                <w:rFonts w:ascii="Calibri" w:hAnsi="Calibri"/>
                <w:b w:val="0"/>
                <w:color w:val="1A1A1A"/>
                <w:sz w:val="24"/>
              </w:rPr>
              <w:t>Validação de desempenho, controle de qualidade, manutenção programada, registros de testes e avaliação periódica conforme fabricante e risco.</w:t>
            </w:r>
          </w:p>
        </w:tc>
      </w:tr>
      <w:tr>
        <w:trPr>
          <w:cantSplit/>
        </w:trPr>
        <w:tc>
          <w:tcPr>
            <w:tcW w:type="dxa" w:w="2425"/>
          </w:tcPr>
          <w:p>
            <w:pPr>
              <w:spacing w:after="0"/>
              <w:jc w:val="left"/>
            </w:pPr>
            <w:r/>
            <w:r>
              <w:rPr>
                <w:rFonts w:ascii="Calibri" w:hAnsi="Calibri"/>
                <w:b/>
                <w:color w:val="1A1A1A"/>
                <w:sz w:val="24"/>
              </w:rPr>
              <w:t>Moderada</w:t>
            </w:r>
          </w:p>
        </w:tc>
        <w:tc>
          <w:tcPr>
            <w:tcW w:type="dxa" w:w="3407"/>
          </w:tcPr>
          <w:p>
            <w:pPr>
              <w:spacing w:after="0"/>
              <w:jc w:val="left"/>
            </w:pPr>
            <w:r/>
            <w:r>
              <w:rPr>
                <w:rFonts w:ascii="Calibri" w:hAnsi="Calibri"/>
                <w:b w:val="0"/>
                <w:color w:val="1A1A1A"/>
                <w:sz w:val="24"/>
              </w:rPr>
              <w:t>Visualizadores vasculares, câmeras, escâneres e software de planejamento.</w:t>
            </w:r>
          </w:p>
        </w:tc>
        <w:tc>
          <w:tcPr>
            <w:tcW w:type="dxa" w:w="3240"/>
          </w:tcPr>
          <w:p>
            <w:pPr>
              <w:spacing w:after="0"/>
              <w:jc w:val="left"/>
            </w:pPr>
            <w:r/>
            <w:r>
              <w:rPr>
                <w:rFonts w:ascii="Calibri" w:hAnsi="Calibri"/>
                <w:b w:val="0"/>
                <w:color w:val="1A1A1A"/>
                <w:sz w:val="24"/>
              </w:rPr>
              <w:t>Verificação funcional, atualização controlada, limpeza, controle de versões e validação da qualidade da imagem e de suas limitações.</w:t>
            </w:r>
          </w:p>
        </w:tc>
      </w:tr>
      <w:tr>
        <w:trPr>
          <w:cantSplit/>
        </w:trPr>
        <w:tc>
          <w:tcPr>
            <w:tcW w:type="dxa" w:w="2425"/>
            <w:shd w:val="clear" w:color="auto" w:fill="F2F5F8"/>
          </w:tcPr>
          <w:p>
            <w:pPr>
              <w:spacing w:after="0"/>
              <w:jc w:val="left"/>
            </w:pPr>
            <w:r/>
            <w:r>
              <w:rPr>
                <w:rFonts w:ascii="Calibri" w:hAnsi="Calibri"/>
                <w:b/>
                <w:color w:val="1A1A1A"/>
                <w:sz w:val="24"/>
              </w:rPr>
              <w:t>Baixa</w:t>
            </w:r>
          </w:p>
        </w:tc>
        <w:tc>
          <w:tcPr>
            <w:tcW w:type="dxa" w:w="3407"/>
            <w:shd w:val="clear" w:color="auto" w:fill="F2F5F8"/>
          </w:tcPr>
          <w:p>
            <w:pPr>
              <w:spacing w:after="0"/>
              <w:jc w:val="left"/>
            </w:pPr>
            <w:r/>
            <w:r>
              <w:rPr>
                <w:rFonts w:ascii="Calibri" w:hAnsi="Calibri"/>
                <w:b w:val="0"/>
                <w:color w:val="1A1A1A"/>
                <w:sz w:val="24"/>
              </w:rPr>
              <w:t>Acessórios não ativos e instrumentais de apoio.</w:t>
            </w:r>
          </w:p>
        </w:tc>
        <w:tc>
          <w:tcPr>
            <w:tcW w:type="dxa" w:w="3240"/>
            <w:shd w:val="clear" w:color="auto" w:fill="F2F5F8"/>
          </w:tcPr>
          <w:p>
            <w:pPr>
              <w:spacing w:after="0"/>
              <w:jc w:val="left"/>
            </w:pPr>
            <w:r/>
            <w:r>
              <w:rPr>
                <w:rFonts w:ascii="Calibri" w:hAnsi="Calibri"/>
                <w:b w:val="0"/>
                <w:color w:val="1A1A1A"/>
                <w:sz w:val="24"/>
              </w:rPr>
              <w:t>Inspeção de integridade, limpeza, processamento, rastreabilidade e substituição por desgaste.</w:t>
            </w:r>
          </w:p>
        </w:tc>
      </w:tr>
    </w:tbl>
    <w:p>
      <w:r>
        <w:br w:type="page"/>
      </w:r>
    </w:p>
    <w:p>
      <w:pPr>
        <w:keepNext/>
        <w:spacing w:before="360" w:after="160"/>
        <w:jc w:val="left"/>
        <w:pBdr>
          <w:bottom w:val="single" w:sz="8" w:space="4" w:color="143C64"/>
        </w:pBdr>
      </w:pPr>
      <w:r>
        <w:rPr>
          <w:rFonts w:ascii="Calibri" w:hAnsi="Calibri"/>
          <w:b/>
          <w:color w:val="143C64"/>
          <w:sz w:val="30"/>
        </w:rPr>
        <w:t>6  Guarda, armazenamento e rastreabilidade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978"/>
        <w:gridCol w:w="5094"/>
      </w:tblGrid>
      <w:tr>
        <w:trPr>
          <w:cantSplit/>
          <w:tblHeader/>
        </w:trPr>
        <w:tc>
          <w:tcPr>
            <w:tcW w:type="dxa" w:w="3978"/>
            <w:shd w:val="clear" w:color="auto" w:fill="143C64"/>
          </w:tcPr>
          <w:p>
            <w:pPr>
              <w:spacing w:after="0"/>
              <w:jc w:val="left"/>
            </w:pPr>
            <w:r/>
            <w:r>
              <w:rPr>
                <w:rFonts w:ascii="Calibri" w:hAnsi="Calibri"/>
                <w:b/>
                <w:color w:val="FFFFFF"/>
                <w:sz w:val="24"/>
              </w:rPr>
              <w:t>Objeto</w:t>
            </w:r>
          </w:p>
        </w:tc>
        <w:tc>
          <w:tcPr>
            <w:tcW w:type="dxa" w:w="5094"/>
            <w:shd w:val="clear" w:color="auto" w:fill="143C64"/>
          </w:tcPr>
          <w:p>
            <w:pPr>
              <w:spacing w:after="0"/>
              <w:jc w:val="left"/>
            </w:pPr>
            <w:r/>
            <w:r>
              <w:rPr>
                <w:rFonts w:ascii="Calibri" w:hAnsi="Calibri"/>
                <w:b/>
                <w:color w:val="FFFFFF"/>
                <w:sz w:val="24"/>
              </w:rPr>
              <w:t>Regra orientadora</w:t>
            </w:r>
          </w:p>
        </w:tc>
      </w:tr>
      <w:tr>
        <w:trPr>
          <w:cantSplit/>
        </w:trPr>
        <w:tc>
          <w:tcPr>
            <w:tcW w:type="dxa" w:w="3978"/>
          </w:tcPr>
          <w:p>
            <w:pPr>
              <w:spacing w:after="0"/>
              <w:jc w:val="left"/>
            </w:pPr>
            <w:r/>
            <w:r>
              <w:rPr>
                <w:rFonts w:ascii="Calibri" w:hAnsi="Calibri"/>
                <w:b w:val="0"/>
                <w:color w:val="1A1A1A"/>
                <w:sz w:val="24"/>
              </w:rPr>
              <w:t>Documentação de gerenciamento</w:t>
            </w:r>
          </w:p>
        </w:tc>
        <w:tc>
          <w:tcPr>
            <w:tcW w:type="dxa" w:w="5094"/>
          </w:tcPr>
          <w:p>
            <w:pPr>
              <w:spacing w:after="0"/>
              <w:jc w:val="left"/>
            </w:pPr>
            <w:r/>
            <w:r>
              <w:rPr>
                <w:rFonts w:ascii="Calibri" w:hAnsi="Calibri"/>
                <w:b w:val="0"/>
                <w:color w:val="1A1A1A"/>
                <w:sz w:val="24"/>
              </w:rPr>
              <w:t>Manter registros sistemáticos, observando os prazos previstos na norma sanitária aplicável e, na ausência de prazo específico, política de guarda declarada pelo serviço.</w:t>
            </w:r>
          </w:p>
        </w:tc>
      </w:tr>
      <w:tr>
        <w:trPr>
          <w:cantSplit/>
        </w:trPr>
        <w:tc>
          <w:tcPr>
            <w:tcW w:type="dxa" w:w="3978"/>
            <w:shd w:val="clear" w:color="auto" w:fill="F2F5F8"/>
          </w:tcPr>
          <w:p>
            <w:pPr>
              <w:spacing w:after="0"/>
              <w:jc w:val="left"/>
            </w:pPr>
            <w:r/>
            <w:r>
              <w:rPr>
                <w:rFonts w:ascii="Calibri" w:hAnsi="Calibri"/>
                <w:b w:val="0"/>
                <w:color w:val="1A1A1A"/>
                <w:sz w:val="24"/>
              </w:rPr>
              <w:t>Prontuário e documentação clínica</w:t>
            </w:r>
          </w:p>
        </w:tc>
        <w:tc>
          <w:tcPr>
            <w:tcW w:type="dxa" w:w="5094"/>
            <w:shd w:val="clear" w:color="auto" w:fill="F2F5F8"/>
          </w:tcPr>
          <w:p>
            <w:pPr>
              <w:spacing w:after="0"/>
              <w:jc w:val="left"/>
            </w:pPr>
            <w:r/>
            <w:r>
              <w:rPr>
                <w:rFonts w:ascii="Calibri" w:hAnsi="Calibri"/>
                <w:b w:val="0"/>
                <w:color w:val="1A1A1A"/>
                <w:sz w:val="24"/>
              </w:rPr>
              <w:t>Política de guarda do serviço com fundamento declarado, considerando obrigações éticas, legais e probatórias.</w:t>
            </w:r>
          </w:p>
        </w:tc>
      </w:tr>
      <w:tr>
        <w:trPr>
          <w:cantSplit/>
        </w:trPr>
        <w:tc>
          <w:tcPr>
            <w:tcW w:type="dxa" w:w="3978"/>
          </w:tcPr>
          <w:p>
            <w:pPr>
              <w:spacing w:after="0"/>
              <w:jc w:val="left"/>
            </w:pPr>
            <w:r/>
            <w:r>
              <w:rPr>
                <w:rFonts w:ascii="Calibri" w:hAnsi="Calibri"/>
                <w:b w:val="0"/>
                <w:color w:val="1A1A1A"/>
                <w:sz w:val="24"/>
              </w:rPr>
              <w:t>Imagens clínicas e dados pessoais</w:t>
            </w:r>
          </w:p>
        </w:tc>
        <w:tc>
          <w:tcPr>
            <w:tcW w:type="dxa" w:w="5094"/>
          </w:tcPr>
          <w:p>
            <w:pPr>
              <w:spacing w:after="0"/>
              <w:jc w:val="left"/>
            </w:pPr>
            <w:r/>
            <w:r>
              <w:rPr>
                <w:rFonts w:ascii="Calibri" w:hAnsi="Calibri"/>
                <w:b w:val="0"/>
                <w:color w:val="1A1A1A"/>
                <w:sz w:val="24"/>
              </w:rPr>
              <w:t>Finalidade, base legal, controle de acesso, retenção e eliminação, conforme a Lei nº 13.709/2018. Uso assistencial e uso para divulgação exigem governanças distintas e consentimentos separados.</w:t>
            </w:r>
          </w:p>
        </w:tc>
      </w:tr>
      <w:tr>
        <w:trPr>
          <w:cantSplit/>
        </w:trPr>
        <w:tc>
          <w:tcPr>
            <w:tcW w:type="dxa" w:w="3978"/>
            <w:shd w:val="clear" w:color="auto" w:fill="F2F5F8"/>
          </w:tcPr>
          <w:p>
            <w:pPr>
              <w:spacing w:after="0"/>
              <w:jc w:val="left"/>
            </w:pPr>
            <w:r/>
            <w:r>
              <w:rPr>
                <w:rFonts w:ascii="Calibri" w:hAnsi="Calibri"/>
                <w:b w:val="0"/>
                <w:color w:val="1A1A1A"/>
                <w:sz w:val="24"/>
              </w:rPr>
              <w:t>Produtos e injetáveis</w:t>
            </w:r>
          </w:p>
        </w:tc>
        <w:tc>
          <w:tcPr>
            <w:tcW w:type="dxa" w:w="5094"/>
            <w:shd w:val="clear" w:color="auto" w:fill="F2F5F8"/>
          </w:tcPr>
          <w:p>
            <w:pPr>
              <w:spacing w:after="0"/>
              <w:jc w:val="left"/>
            </w:pPr>
            <w:r/>
            <w:r>
              <w:rPr>
                <w:rFonts w:ascii="Calibri" w:hAnsi="Calibri"/>
                <w:b w:val="0"/>
                <w:color w:val="1A1A1A"/>
                <w:sz w:val="24"/>
              </w:rPr>
              <w:t>Armazenamento conforme rotulagem do fabricante, com controle de validade, condições ambientais e rastreabilidade por lote.</w:t>
            </w:r>
          </w:p>
        </w:tc>
      </w:tr>
    </w:tbl>
    <w:p>
      <w:pPr>
        <w:keepNext/>
        <w:spacing w:before="360" w:after="160"/>
        <w:jc w:val="left"/>
        <w:pBdr>
          <w:bottom w:val="single" w:sz="8" w:space="4" w:color="143C64"/>
        </w:pBdr>
      </w:pPr>
      <w:r>
        <w:rPr>
          <w:rFonts w:ascii="Calibri" w:hAnsi="Calibri"/>
          <w:b/>
          <w:color w:val="143C64"/>
          <w:sz w:val="30"/>
        </w:rPr>
        <w:t>7  Roteiro de consulta às bases oficiais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119"/>
        <w:gridCol w:w="3347"/>
        <w:gridCol w:w="2606"/>
      </w:tblGrid>
      <w:tr>
        <w:trPr>
          <w:cantSplit/>
          <w:tblHeader/>
        </w:trPr>
        <w:tc>
          <w:tcPr>
            <w:tcW w:type="dxa" w:w="3119"/>
            <w:shd w:val="clear" w:color="auto" w:fill="143C64"/>
          </w:tcPr>
          <w:p>
            <w:pPr>
              <w:spacing w:after="0"/>
              <w:jc w:val="left"/>
            </w:pPr>
            <w:r/>
            <w:r>
              <w:rPr>
                <w:rFonts w:ascii="Calibri" w:hAnsi="Calibri"/>
                <w:b/>
                <w:color w:val="FFFFFF"/>
                <w:sz w:val="24"/>
              </w:rPr>
              <w:t>Fonte</w:t>
            </w:r>
          </w:p>
        </w:tc>
        <w:tc>
          <w:tcPr>
            <w:tcW w:type="dxa" w:w="3347"/>
            <w:shd w:val="clear" w:color="auto" w:fill="143C64"/>
          </w:tcPr>
          <w:p>
            <w:pPr>
              <w:spacing w:after="0"/>
              <w:jc w:val="left"/>
            </w:pPr>
            <w:r/>
            <w:r>
              <w:rPr>
                <w:rFonts w:ascii="Calibri" w:hAnsi="Calibri"/>
                <w:b/>
                <w:color w:val="FFFFFF"/>
                <w:sz w:val="24"/>
              </w:rPr>
              <w:t>O que consultar</w:t>
            </w:r>
          </w:p>
        </w:tc>
        <w:tc>
          <w:tcPr>
            <w:tcW w:type="dxa" w:w="2606"/>
            <w:shd w:val="clear" w:color="auto" w:fill="143C64"/>
          </w:tcPr>
          <w:p>
            <w:pPr>
              <w:spacing w:after="0"/>
              <w:jc w:val="left"/>
            </w:pPr>
            <w:r/>
            <w:r>
              <w:rPr>
                <w:rFonts w:ascii="Calibri" w:hAnsi="Calibri"/>
                <w:b/>
                <w:color w:val="FFFFFF"/>
                <w:sz w:val="24"/>
              </w:rPr>
              <w:t>O que arquivar</w:t>
            </w:r>
          </w:p>
        </w:tc>
      </w:tr>
      <w:tr>
        <w:trPr>
          <w:cantSplit/>
        </w:trPr>
        <w:tc>
          <w:tcPr>
            <w:tcW w:type="dxa" w:w="3119"/>
          </w:tcPr>
          <w:p>
            <w:pPr>
              <w:spacing w:after="0"/>
              <w:jc w:val="left"/>
            </w:pPr>
            <w:r/>
            <w:r>
              <w:rPr>
                <w:rFonts w:ascii="Calibri" w:hAnsi="Calibri"/>
                <w:b w:val="0"/>
                <w:color w:val="1A1A1A"/>
                <w:sz w:val="24"/>
              </w:rPr>
              <w:t>Anvisa</w:t>
            </w:r>
          </w:p>
        </w:tc>
        <w:tc>
          <w:tcPr>
            <w:tcW w:type="dxa" w:w="3347"/>
          </w:tcPr>
          <w:p>
            <w:pPr>
              <w:spacing w:after="0"/>
              <w:jc w:val="left"/>
            </w:pPr>
            <w:r/>
            <w:r>
              <w:rPr>
                <w:rFonts w:ascii="Calibri" w:hAnsi="Calibri"/>
                <w:b w:val="0"/>
                <w:color w:val="1A1A1A"/>
                <w:sz w:val="24"/>
              </w:rPr>
              <w:t>Registro ou regularização, titular, modelo, finalidade aprovada, instruções de uso, alertas e recolhimentos.</w:t>
            </w:r>
          </w:p>
        </w:tc>
        <w:tc>
          <w:tcPr>
            <w:tcW w:type="dxa" w:w="2606"/>
          </w:tcPr>
          <w:p>
            <w:pPr>
              <w:spacing w:after="0"/>
              <w:jc w:val="left"/>
            </w:pPr>
            <w:r/>
            <w:r>
              <w:rPr>
                <w:rFonts w:ascii="Calibri" w:hAnsi="Calibri"/>
                <w:b w:val="0"/>
                <w:color w:val="1A1A1A"/>
                <w:sz w:val="24"/>
              </w:rPr>
              <w:t>Número, situação, data da consulta, captura ou endereço eletrônico, versão do manual e responsável pela verificação.</w:t>
            </w:r>
          </w:p>
        </w:tc>
      </w:tr>
      <w:tr>
        <w:trPr>
          <w:cantSplit/>
        </w:trPr>
        <w:tc>
          <w:tcPr>
            <w:tcW w:type="dxa" w:w="3119"/>
            <w:shd w:val="clear" w:color="auto" w:fill="F2F5F8"/>
          </w:tcPr>
          <w:p>
            <w:pPr>
              <w:spacing w:after="0"/>
              <w:jc w:val="left"/>
            </w:pPr>
            <w:r/>
            <w:r>
              <w:rPr>
                <w:rFonts w:ascii="Calibri" w:hAnsi="Calibri"/>
                <w:b w:val="0"/>
                <w:color w:val="1A1A1A"/>
                <w:sz w:val="24"/>
              </w:rPr>
              <w:t>Avaliação da conformidade</w:t>
            </w:r>
          </w:p>
        </w:tc>
        <w:tc>
          <w:tcPr>
            <w:tcW w:type="dxa" w:w="3347"/>
            <w:shd w:val="clear" w:color="auto" w:fill="F2F5F8"/>
          </w:tcPr>
          <w:p>
            <w:pPr>
              <w:spacing w:after="0"/>
              <w:jc w:val="left"/>
            </w:pPr>
            <w:r/>
            <w:r>
              <w:rPr>
                <w:rFonts w:ascii="Calibri" w:hAnsi="Calibri"/>
                <w:b w:val="0"/>
                <w:color w:val="1A1A1A"/>
                <w:sz w:val="24"/>
              </w:rPr>
              <w:t>Programas aplicáveis, certificação, escopo e validade quando exigidos para o equipamento.</w:t>
            </w:r>
          </w:p>
        </w:tc>
        <w:tc>
          <w:tcPr>
            <w:tcW w:type="dxa" w:w="2606"/>
            <w:shd w:val="clear" w:color="auto" w:fill="F2F5F8"/>
          </w:tcPr>
          <w:p>
            <w:pPr>
              <w:spacing w:after="0"/>
              <w:jc w:val="left"/>
            </w:pPr>
            <w:r/>
            <w:r>
              <w:rPr>
                <w:rFonts w:ascii="Calibri" w:hAnsi="Calibri"/>
                <w:b w:val="0"/>
                <w:color w:val="1A1A1A"/>
                <w:sz w:val="24"/>
              </w:rPr>
              <w:t>Certificado, escopo, validade e evidência da consulta.</w:t>
            </w:r>
          </w:p>
        </w:tc>
      </w:tr>
      <w:tr>
        <w:trPr>
          <w:cantSplit/>
        </w:trPr>
        <w:tc>
          <w:tcPr>
            <w:tcW w:type="dxa" w:w="3119"/>
          </w:tcPr>
          <w:p>
            <w:pPr>
              <w:spacing w:after="0"/>
              <w:jc w:val="left"/>
            </w:pPr>
            <w:r/>
            <w:r>
              <w:rPr>
                <w:rFonts w:ascii="Calibri" w:hAnsi="Calibri"/>
                <w:b w:val="0"/>
                <w:color w:val="1A1A1A"/>
                <w:sz w:val="24"/>
              </w:rPr>
              <w:t>Vigilância Sanitária local</w:t>
            </w:r>
          </w:p>
        </w:tc>
        <w:tc>
          <w:tcPr>
            <w:tcW w:type="dxa" w:w="3347"/>
          </w:tcPr>
          <w:p>
            <w:pPr>
              <w:spacing w:after="0"/>
              <w:jc w:val="left"/>
            </w:pPr>
            <w:r/>
            <w:r>
              <w:rPr>
                <w:rFonts w:ascii="Calibri" w:hAnsi="Calibri"/>
                <w:b w:val="0"/>
                <w:color w:val="1A1A1A"/>
                <w:sz w:val="24"/>
              </w:rPr>
              <w:t>Licenciamento do estabelecimento, requisitos de instalação, operação, processamento, resíduos e exigências complementares.</w:t>
            </w:r>
          </w:p>
        </w:tc>
        <w:tc>
          <w:tcPr>
            <w:tcW w:type="dxa" w:w="2606"/>
          </w:tcPr>
          <w:p>
            <w:pPr>
              <w:spacing w:after="0"/>
              <w:jc w:val="left"/>
            </w:pPr>
            <w:r/>
            <w:r>
              <w:rPr>
                <w:rFonts w:ascii="Calibri" w:hAnsi="Calibri"/>
                <w:b w:val="0"/>
                <w:color w:val="1A1A1A"/>
                <w:sz w:val="24"/>
              </w:rPr>
              <w:t>Licença vigente, exigências recebidas e comprovação de atendimento.</w:t>
            </w:r>
          </w:p>
        </w:tc>
      </w:tr>
      <w:tr>
        <w:trPr>
          <w:cantSplit/>
        </w:trPr>
        <w:tc>
          <w:tcPr>
            <w:tcW w:type="dxa" w:w="3119"/>
            <w:shd w:val="clear" w:color="auto" w:fill="F2F5F8"/>
          </w:tcPr>
          <w:p>
            <w:pPr>
              <w:spacing w:after="0"/>
              <w:jc w:val="left"/>
            </w:pPr>
            <w:r/>
            <w:r>
              <w:rPr>
                <w:rFonts w:ascii="Calibri" w:hAnsi="Calibri"/>
                <w:b w:val="0"/>
                <w:color w:val="1A1A1A"/>
                <w:sz w:val="24"/>
              </w:rPr>
              <w:t>Tecnovigilância</w:t>
            </w:r>
          </w:p>
        </w:tc>
        <w:tc>
          <w:tcPr>
            <w:tcW w:type="dxa" w:w="3347"/>
            <w:shd w:val="clear" w:color="auto" w:fill="F2F5F8"/>
          </w:tcPr>
          <w:p>
            <w:pPr>
              <w:spacing w:after="0"/>
              <w:jc w:val="left"/>
            </w:pPr>
            <w:r/>
            <w:r>
              <w:rPr>
                <w:rFonts w:ascii="Calibri" w:hAnsi="Calibri"/>
                <w:b w:val="0"/>
                <w:color w:val="1A1A1A"/>
                <w:sz w:val="24"/>
              </w:rPr>
              <w:t>Alertas, queixas técnicas e eventos adversos relacionados ao produto ou modelo.</w:t>
            </w:r>
          </w:p>
        </w:tc>
        <w:tc>
          <w:tcPr>
            <w:tcW w:type="dxa" w:w="2606"/>
            <w:shd w:val="clear" w:color="auto" w:fill="F2F5F8"/>
          </w:tcPr>
          <w:p>
            <w:pPr>
              <w:spacing w:after="0"/>
              <w:jc w:val="left"/>
            </w:pPr>
            <w:r/>
            <w:r>
              <w:rPr>
                <w:rFonts w:ascii="Calibri" w:hAnsi="Calibri"/>
                <w:b w:val="0"/>
                <w:color w:val="1A1A1A"/>
                <w:sz w:val="24"/>
              </w:rPr>
              <w:t>Registro do que foi encontrado, data e decisão adotada pelo serviço.</w:t>
            </w:r>
          </w:p>
        </w:tc>
      </w:tr>
    </w:tbl>
    <w:p>
      <w:pPr>
        <w:keepNext/>
        <w:spacing w:before="360" w:after="160"/>
        <w:jc w:val="left"/>
        <w:pBdr>
          <w:bottom w:val="single" w:sz="8" w:space="4" w:color="143C64"/>
        </w:pBdr>
      </w:pPr>
      <w:r>
        <w:rPr>
          <w:rFonts w:ascii="Calibri" w:hAnsi="Calibri"/>
          <w:b/>
          <w:color w:val="143C64"/>
          <w:sz w:val="30"/>
        </w:rPr>
        <w:t>8  Fluxo digital em cinco pilares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945"/>
        <w:gridCol w:w="2784"/>
        <w:gridCol w:w="3344"/>
      </w:tblGrid>
      <w:tr>
        <w:trPr>
          <w:cantSplit/>
          <w:tblHeader/>
        </w:trPr>
        <w:tc>
          <w:tcPr>
            <w:tcW w:type="dxa" w:w="2945"/>
            <w:shd w:val="clear" w:color="auto" w:fill="143C64"/>
          </w:tcPr>
          <w:p>
            <w:pPr>
              <w:spacing w:after="0"/>
              <w:jc w:val="left"/>
            </w:pPr>
            <w:r/>
            <w:r>
              <w:rPr>
                <w:rFonts w:ascii="Calibri" w:hAnsi="Calibri"/>
                <w:b/>
                <w:color w:val="FFFFFF"/>
                <w:sz w:val="24"/>
              </w:rPr>
              <w:t>Pilar</w:t>
            </w:r>
          </w:p>
        </w:tc>
        <w:tc>
          <w:tcPr>
            <w:tcW w:type="dxa" w:w="2784"/>
            <w:shd w:val="clear" w:color="auto" w:fill="143C64"/>
          </w:tcPr>
          <w:p>
            <w:pPr>
              <w:spacing w:after="0"/>
              <w:jc w:val="left"/>
            </w:pPr>
            <w:r/>
            <w:r>
              <w:rPr>
                <w:rFonts w:ascii="Calibri" w:hAnsi="Calibri"/>
                <w:b/>
                <w:color w:val="FFFFFF"/>
                <w:sz w:val="24"/>
              </w:rPr>
              <w:t>Conteúdo</w:t>
            </w:r>
          </w:p>
        </w:tc>
        <w:tc>
          <w:tcPr>
            <w:tcW w:type="dxa" w:w="3344"/>
            <w:shd w:val="clear" w:color="auto" w:fill="143C64"/>
          </w:tcPr>
          <w:p>
            <w:pPr>
              <w:spacing w:after="0"/>
              <w:jc w:val="left"/>
            </w:pPr>
            <w:r/>
            <w:r>
              <w:rPr>
                <w:rFonts w:ascii="Calibri" w:hAnsi="Calibri"/>
                <w:b/>
                <w:color w:val="FFFFFF"/>
                <w:sz w:val="24"/>
              </w:rPr>
              <w:t>Controle de segurança</w:t>
            </w:r>
          </w:p>
        </w:tc>
      </w:tr>
      <w:tr>
        <w:trPr>
          <w:cantSplit/>
        </w:trPr>
        <w:tc>
          <w:tcPr>
            <w:tcW w:type="dxa" w:w="2945"/>
          </w:tcPr>
          <w:p>
            <w:pPr>
              <w:spacing w:after="0"/>
              <w:jc w:val="left"/>
            </w:pPr>
            <w:r/>
            <w:r>
              <w:rPr>
                <w:rFonts w:ascii="Calibri" w:hAnsi="Calibri"/>
                <w:b/>
                <w:color w:val="1A1A1A"/>
                <w:sz w:val="24"/>
              </w:rPr>
              <w:t>1. Anamnese e triagem</w:t>
            </w:r>
          </w:p>
        </w:tc>
        <w:tc>
          <w:tcPr>
            <w:tcW w:type="dxa" w:w="2784"/>
          </w:tcPr>
          <w:p>
            <w:pPr>
              <w:spacing w:after="0"/>
              <w:jc w:val="left"/>
            </w:pPr>
            <w:r/>
            <w:r>
              <w:rPr>
                <w:rFonts w:ascii="Calibri" w:hAnsi="Calibri"/>
                <w:b w:val="0"/>
                <w:color w:val="1A1A1A"/>
                <w:sz w:val="24"/>
              </w:rPr>
              <w:t>Comorbidades, medicações, antecedentes e materiais previamente aplicados.</w:t>
            </w:r>
          </w:p>
        </w:tc>
        <w:tc>
          <w:tcPr>
            <w:tcW w:type="dxa" w:w="3344"/>
          </w:tcPr>
          <w:p>
            <w:pPr>
              <w:spacing w:after="0"/>
              <w:jc w:val="left"/>
            </w:pPr>
            <w:r/>
            <w:r>
              <w:rPr>
                <w:rFonts w:ascii="Calibri" w:hAnsi="Calibri"/>
                <w:b w:val="0"/>
                <w:color w:val="1A1A1A"/>
                <w:sz w:val="24"/>
              </w:rPr>
              <w:t>Registro estruturado e contraindicações identificadas antes do procedimento.</w:t>
            </w:r>
          </w:p>
        </w:tc>
      </w:tr>
      <w:tr>
        <w:trPr>
          <w:cantSplit/>
        </w:trPr>
        <w:tc>
          <w:tcPr>
            <w:tcW w:type="dxa" w:w="2945"/>
            <w:shd w:val="clear" w:color="auto" w:fill="F2F5F8"/>
          </w:tcPr>
          <w:p>
            <w:pPr>
              <w:spacing w:after="0"/>
              <w:jc w:val="left"/>
            </w:pPr>
            <w:r/>
            <w:r>
              <w:rPr>
                <w:rFonts w:ascii="Calibri" w:hAnsi="Calibri"/>
                <w:b/>
                <w:color w:val="1A1A1A"/>
                <w:sz w:val="24"/>
              </w:rPr>
              <w:t>2. Diagnóstico por imagem</w:t>
            </w:r>
          </w:p>
        </w:tc>
        <w:tc>
          <w:tcPr>
            <w:tcW w:type="dxa" w:w="2784"/>
            <w:shd w:val="clear" w:color="auto" w:fill="F2F5F8"/>
          </w:tcPr>
          <w:p>
            <w:pPr>
              <w:spacing w:after="0"/>
              <w:jc w:val="left"/>
            </w:pPr>
            <w:r/>
            <w:r>
              <w:rPr>
                <w:rFonts w:ascii="Calibri" w:hAnsi="Calibri"/>
                <w:b w:val="0"/>
                <w:color w:val="1A1A1A"/>
                <w:sz w:val="24"/>
              </w:rPr>
              <w:t>Avaliação clínica e imagem quando indicada.</w:t>
            </w:r>
          </w:p>
        </w:tc>
        <w:tc>
          <w:tcPr>
            <w:tcW w:type="dxa" w:w="3344"/>
            <w:shd w:val="clear" w:color="auto" w:fill="F2F5F8"/>
          </w:tcPr>
          <w:p>
            <w:pPr>
              <w:spacing w:after="0"/>
              <w:jc w:val="left"/>
            </w:pPr>
            <w:r/>
            <w:r>
              <w:rPr>
                <w:rFonts w:ascii="Calibri" w:hAnsi="Calibri"/>
                <w:b w:val="0"/>
                <w:color w:val="1A1A1A"/>
                <w:sz w:val="24"/>
              </w:rPr>
              <w:t>Operador capacitado, laudo ou registro, e princípio de não atraso da urgência.</w:t>
            </w:r>
          </w:p>
        </w:tc>
      </w:tr>
      <w:tr>
        <w:trPr>
          <w:cantSplit/>
        </w:trPr>
        <w:tc>
          <w:tcPr>
            <w:tcW w:type="dxa" w:w="2945"/>
          </w:tcPr>
          <w:p>
            <w:pPr>
              <w:spacing w:after="0"/>
              <w:jc w:val="left"/>
            </w:pPr>
            <w:r/>
            <w:r>
              <w:rPr>
                <w:rFonts w:ascii="Calibri" w:hAnsi="Calibri"/>
                <w:b/>
                <w:color w:val="1A1A1A"/>
                <w:sz w:val="24"/>
              </w:rPr>
              <w:t>3. Documentação e planejamento</w:t>
            </w:r>
          </w:p>
        </w:tc>
        <w:tc>
          <w:tcPr>
            <w:tcW w:type="dxa" w:w="2784"/>
          </w:tcPr>
          <w:p>
            <w:pPr>
              <w:spacing w:after="0"/>
              <w:jc w:val="left"/>
            </w:pPr>
            <w:r/>
            <w:r>
              <w:rPr>
                <w:rFonts w:ascii="Calibri" w:hAnsi="Calibri"/>
                <w:b w:val="0"/>
                <w:color w:val="1A1A1A"/>
                <w:sz w:val="24"/>
              </w:rPr>
              <w:t>Fotografia padronizada, escaneamento e planejamento digital.</w:t>
            </w:r>
          </w:p>
        </w:tc>
        <w:tc>
          <w:tcPr>
            <w:tcW w:type="dxa" w:w="3344"/>
          </w:tcPr>
          <w:p>
            <w:pPr>
              <w:spacing w:after="0"/>
              <w:jc w:val="left"/>
            </w:pPr>
            <w:r/>
            <w:r>
              <w:rPr>
                <w:rFonts w:ascii="Calibri" w:hAnsi="Calibri"/>
                <w:b w:val="0"/>
                <w:color w:val="1A1A1A"/>
                <w:sz w:val="24"/>
              </w:rPr>
              <w:t>Consentimento por finalidade, política de dados e controle de acesso.</w:t>
            </w:r>
          </w:p>
        </w:tc>
      </w:tr>
      <w:tr>
        <w:trPr>
          <w:cantSplit/>
        </w:trPr>
        <w:tc>
          <w:tcPr>
            <w:tcW w:type="dxa" w:w="2945"/>
            <w:shd w:val="clear" w:color="auto" w:fill="F2F5F8"/>
          </w:tcPr>
          <w:p>
            <w:pPr>
              <w:spacing w:after="0"/>
              <w:jc w:val="left"/>
            </w:pPr>
            <w:r/>
            <w:r>
              <w:rPr>
                <w:rFonts w:ascii="Calibri" w:hAnsi="Calibri"/>
                <w:b/>
                <w:color w:val="1A1A1A"/>
                <w:sz w:val="24"/>
              </w:rPr>
              <w:t>4. Execução</w:t>
            </w:r>
          </w:p>
        </w:tc>
        <w:tc>
          <w:tcPr>
            <w:tcW w:type="dxa" w:w="2784"/>
            <w:shd w:val="clear" w:color="auto" w:fill="F2F5F8"/>
          </w:tcPr>
          <w:p>
            <w:pPr>
              <w:spacing w:after="0"/>
              <w:jc w:val="left"/>
            </w:pPr>
            <w:r/>
            <w:r>
              <w:rPr>
                <w:rFonts w:ascii="Calibri" w:hAnsi="Calibri"/>
                <w:b w:val="0"/>
                <w:color w:val="1A1A1A"/>
                <w:sz w:val="24"/>
              </w:rPr>
              <w:t>Procedimento segundo POP e instruções de uso.</w:t>
            </w:r>
          </w:p>
        </w:tc>
        <w:tc>
          <w:tcPr>
            <w:tcW w:type="dxa" w:w="3344"/>
            <w:shd w:val="clear" w:color="auto" w:fill="F2F5F8"/>
          </w:tcPr>
          <w:p>
            <w:pPr>
              <w:spacing w:after="0"/>
              <w:jc w:val="left"/>
            </w:pPr>
            <w:r/>
            <w:r>
              <w:rPr>
                <w:rFonts w:ascii="Calibri" w:hAnsi="Calibri"/>
                <w:b w:val="0"/>
                <w:color w:val="1A1A1A"/>
                <w:sz w:val="24"/>
              </w:rPr>
              <w:t>Rastreabilidade, parâmetros, checklist e recursos de urgência disponíveis.</w:t>
            </w:r>
          </w:p>
        </w:tc>
      </w:tr>
      <w:tr>
        <w:trPr>
          <w:cantSplit/>
        </w:trPr>
        <w:tc>
          <w:tcPr>
            <w:tcW w:type="dxa" w:w="2945"/>
          </w:tcPr>
          <w:p>
            <w:pPr>
              <w:spacing w:after="0"/>
              <w:jc w:val="left"/>
            </w:pPr>
            <w:r/>
            <w:r>
              <w:rPr>
                <w:rFonts w:ascii="Calibri" w:hAnsi="Calibri"/>
                <w:b/>
                <w:color w:val="1A1A1A"/>
                <w:sz w:val="24"/>
              </w:rPr>
              <w:t>5. Acompanhamento</w:t>
            </w:r>
          </w:p>
        </w:tc>
        <w:tc>
          <w:tcPr>
            <w:tcW w:type="dxa" w:w="2784"/>
          </w:tcPr>
          <w:p>
            <w:pPr>
              <w:spacing w:after="0"/>
              <w:jc w:val="left"/>
            </w:pPr>
            <w:r/>
            <w:r>
              <w:rPr>
                <w:rFonts w:ascii="Calibri" w:hAnsi="Calibri"/>
                <w:b w:val="0"/>
                <w:color w:val="1A1A1A"/>
                <w:sz w:val="24"/>
              </w:rPr>
              <w:t>Contato ativo e reavaliação programada.</w:t>
            </w:r>
          </w:p>
        </w:tc>
        <w:tc>
          <w:tcPr>
            <w:tcW w:type="dxa" w:w="3344"/>
          </w:tcPr>
          <w:p>
            <w:pPr>
              <w:spacing w:after="0"/>
              <w:jc w:val="left"/>
            </w:pPr>
            <w:r/>
            <w:r>
              <w:rPr>
                <w:rFonts w:ascii="Calibri" w:hAnsi="Calibri"/>
                <w:b w:val="0"/>
                <w:color w:val="1A1A1A"/>
                <w:sz w:val="24"/>
              </w:rPr>
              <w:t>Registro da evolução e canal de urgência informado ao paciente.</w:t>
            </w:r>
          </w:p>
        </w:tc>
      </w:tr>
    </w:tbl>
    <w:p>
      <w:pPr>
        <w:keepNext/>
        <w:spacing w:before="360" w:after="160"/>
        <w:jc w:val="left"/>
        <w:pBdr>
          <w:bottom w:val="single" w:sz="8" w:space="4" w:color="143C64"/>
        </w:pBdr>
      </w:pPr>
      <w:r>
        <w:rPr>
          <w:rFonts w:ascii="Calibri" w:hAnsi="Calibri"/>
          <w:b/>
          <w:color w:val="143C64"/>
          <w:sz w:val="30"/>
        </w:rPr>
        <w:t>9  Uso conforme, uso fora da indicação aprovada e protocolo autoral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99"/>
        <w:gridCol w:w="3231"/>
        <w:gridCol w:w="3642"/>
      </w:tblGrid>
      <w:tr>
        <w:trPr>
          <w:cantSplit/>
          <w:tblHeader/>
        </w:trPr>
        <w:tc>
          <w:tcPr>
            <w:tcW w:type="dxa" w:w="2199"/>
            <w:shd w:val="clear" w:color="auto" w:fill="143C64"/>
          </w:tcPr>
          <w:p>
            <w:pPr>
              <w:spacing w:after="0"/>
              <w:jc w:val="left"/>
            </w:pPr>
            <w:r/>
            <w:r>
              <w:rPr>
                <w:rFonts w:ascii="Calibri" w:hAnsi="Calibri"/>
                <w:b/>
                <w:color w:val="FFFFFF"/>
                <w:sz w:val="24"/>
              </w:rPr>
              <w:t>Situação</w:t>
            </w:r>
          </w:p>
        </w:tc>
        <w:tc>
          <w:tcPr>
            <w:tcW w:type="dxa" w:w="3231"/>
            <w:shd w:val="clear" w:color="auto" w:fill="143C64"/>
          </w:tcPr>
          <w:p>
            <w:pPr>
              <w:spacing w:after="0"/>
              <w:jc w:val="left"/>
            </w:pPr>
            <w:r/>
            <w:r>
              <w:rPr>
                <w:rFonts w:ascii="Calibri" w:hAnsi="Calibri"/>
                <w:b/>
                <w:color w:val="FFFFFF"/>
                <w:sz w:val="24"/>
              </w:rPr>
              <w:t>Caracterização</w:t>
            </w:r>
          </w:p>
        </w:tc>
        <w:tc>
          <w:tcPr>
            <w:tcW w:type="dxa" w:w="3642"/>
            <w:shd w:val="clear" w:color="auto" w:fill="143C64"/>
          </w:tcPr>
          <w:p>
            <w:pPr>
              <w:spacing w:after="0"/>
              <w:jc w:val="left"/>
            </w:pPr>
            <w:r/>
            <w:r>
              <w:rPr>
                <w:rFonts w:ascii="Calibri" w:hAnsi="Calibri"/>
                <w:b/>
                <w:color w:val="FFFFFF"/>
                <w:sz w:val="24"/>
              </w:rPr>
              <w:t>Orientação institucional</w:t>
            </w:r>
          </w:p>
        </w:tc>
      </w:tr>
      <w:tr>
        <w:trPr>
          <w:cantSplit/>
        </w:trPr>
        <w:tc>
          <w:tcPr>
            <w:tcW w:type="dxa" w:w="2199"/>
          </w:tcPr>
          <w:p>
            <w:pPr>
              <w:spacing w:after="0"/>
              <w:jc w:val="left"/>
            </w:pPr>
            <w:r/>
            <w:r>
              <w:rPr>
                <w:rFonts w:ascii="Calibri" w:hAnsi="Calibri"/>
                <w:b/>
                <w:color w:val="1A1A1A"/>
                <w:sz w:val="24"/>
              </w:rPr>
              <w:t>Uso conforme</w:t>
            </w:r>
          </w:p>
        </w:tc>
        <w:tc>
          <w:tcPr>
            <w:tcW w:type="dxa" w:w="3231"/>
          </w:tcPr>
          <w:p>
            <w:pPr>
              <w:spacing w:after="0"/>
              <w:jc w:val="left"/>
            </w:pPr>
            <w:r/>
            <w:r>
              <w:rPr>
                <w:rFonts w:ascii="Calibri" w:hAnsi="Calibri"/>
                <w:b w:val="0"/>
                <w:color w:val="1A1A1A"/>
                <w:sz w:val="24"/>
              </w:rPr>
              <w:t>Indicação, região e técnica compatíveis com as instruções aprovadas.</w:t>
            </w:r>
          </w:p>
        </w:tc>
        <w:tc>
          <w:tcPr>
            <w:tcW w:type="dxa" w:w="3642"/>
          </w:tcPr>
          <w:p>
            <w:pPr>
              <w:spacing w:after="0"/>
              <w:jc w:val="left"/>
            </w:pPr>
            <w:r/>
            <w:r>
              <w:rPr>
                <w:rFonts w:ascii="Calibri" w:hAnsi="Calibri"/>
                <w:b w:val="0"/>
                <w:color w:val="1A1A1A"/>
                <w:sz w:val="24"/>
              </w:rPr>
              <w:t>Documentar a conformidade e manter rastreabilidade.</w:t>
            </w:r>
          </w:p>
        </w:tc>
      </w:tr>
      <w:tr>
        <w:trPr>
          <w:cantSplit/>
        </w:trPr>
        <w:tc>
          <w:tcPr>
            <w:tcW w:type="dxa" w:w="2199"/>
            <w:shd w:val="clear" w:color="auto" w:fill="F2F5F8"/>
          </w:tcPr>
          <w:p>
            <w:pPr>
              <w:spacing w:after="0"/>
              <w:jc w:val="left"/>
            </w:pPr>
            <w:r/>
            <w:r>
              <w:rPr>
                <w:rFonts w:ascii="Calibri" w:hAnsi="Calibri"/>
                <w:b/>
                <w:color w:val="1A1A1A"/>
                <w:sz w:val="24"/>
              </w:rPr>
              <w:t>Uso fora da indicação aprovada</w:t>
            </w:r>
          </w:p>
        </w:tc>
        <w:tc>
          <w:tcPr>
            <w:tcW w:type="dxa" w:w="3231"/>
            <w:shd w:val="clear" w:color="auto" w:fill="F2F5F8"/>
          </w:tcPr>
          <w:p>
            <w:pPr>
              <w:spacing w:after="0"/>
              <w:jc w:val="left"/>
            </w:pPr>
            <w:r/>
            <w:r>
              <w:rPr>
                <w:rFonts w:ascii="Calibri" w:hAnsi="Calibri"/>
                <w:b w:val="0"/>
                <w:color w:val="1A1A1A"/>
                <w:sz w:val="24"/>
              </w:rPr>
              <w:t>Produto regularizado empregado fora da indicação, região ou técnica aprovadas.</w:t>
            </w:r>
          </w:p>
        </w:tc>
        <w:tc>
          <w:tcPr>
            <w:tcW w:type="dxa" w:w="3642"/>
            <w:shd w:val="clear" w:color="auto" w:fill="F2F5F8"/>
          </w:tcPr>
          <w:p>
            <w:pPr>
              <w:spacing w:after="0"/>
              <w:jc w:val="left"/>
            </w:pPr>
            <w:r/>
            <w:r>
              <w:rPr>
                <w:rFonts w:ascii="Calibri" w:hAnsi="Calibri"/>
                <w:b w:val="0"/>
                <w:color w:val="1A1A1A"/>
                <w:sz w:val="24"/>
              </w:rPr>
              <w:t>Exige justificativa técnica, informação específica ao paciente e registro robusto. Não deve ser tratado como equivalente ao uso conforme, nem apresentado ao paciente como prática padrão.</w:t>
            </w:r>
          </w:p>
        </w:tc>
      </w:tr>
      <w:tr>
        <w:trPr>
          <w:cantSplit/>
        </w:trPr>
        <w:tc>
          <w:tcPr>
            <w:tcW w:type="dxa" w:w="2199"/>
          </w:tcPr>
          <w:p>
            <w:pPr>
              <w:spacing w:after="0"/>
              <w:jc w:val="left"/>
            </w:pPr>
            <w:r/>
            <w:r>
              <w:rPr>
                <w:rFonts w:ascii="Calibri" w:hAnsi="Calibri"/>
                <w:b/>
                <w:color w:val="1A1A1A"/>
                <w:sz w:val="24"/>
              </w:rPr>
              <w:t>Protocolo autoral</w:t>
            </w:r>
          </w:p>
        </w:tc>
        <w:tc>
          <w:tcPr>
            <w:tcW w:type="dxa" w:w="3231"/>
          </w:tcPr>
          <w:p>
            <w:pPr>
              <w:spacing w:after="0"/>
              <w:jc w:val="left"/>
            </w:pPr>
            <w:r/>
            <w:r>
              <w:rPr>
                <w:rFonts w:ascii="Calibri" w:hAnsi="Calibri"/>
                <w:b w:val="0"/>
                <w:color w:val="1A1A1A"/>
                <w:sz w:val="24"/>
              </w:rPr>
              <w:t>Combinação, sequência ou parâmetro proposto por autor ou escola, sem sustentação publicada.</w:t>
            </w:r>
          </w:p>
        </w:tc>
        <w:tc>
          <w:tcPr>
            <w:tcW w:type="dxa" w:w="3642"/>
          </w:tcPr>
          <w:p>
            <w:pPr>
              <w:spacing w:after="0"/>
              <w:jc w:val="left"/>
            </w:pPr>
            <w:r/>
            <w:r>
              <w:rPr>
                <w:rFonts w:ascii="Calibri" w:hAnsi="Calibri"/>
                <w:b w:val="0"/>
                <w:color w:val="1A1A1A"/>
                <w:sz w:val="24"/>
              </w:rPr>
              <w:t>Não pode ser apresentado como padrão assistencial. Exige registro da ausência de sustentação e consentimento correspondente.</w:t>
            </w:r>
          </w:p>
        </w:tc>
      </w:tr>
      <w:tr>
        <w:trPr>
          <w:cantSplit/>
        </w:trPr>
        <w:tc>
          <w:tcPr>
            <w:tcW w:type="dxa" w:w="2199"/>
            <w:shd w:val="clear" w:color="auto" w:fill="F2F5F8"/>
          </w:tcPr>
          <w:p>
            <w:pPr>
              <w:spacing w:after="0"/>
              <w:jc w:val="left"/>
            </w:pPr>
            <w:r/>
            <w:r>
              <w:rPr>
                <w:rFonts w:ascii="Calibri" w:hAnsi="Calibri"/>
                <w:b/>
                <w:color w:val="1A1A1A"/>
                <w:sz w:val="24"/>
              </w:rPr>
              <w:t>Produto irregular</w:t>
            </w:r>
          </w:p>
        </w:tc>
        <w:tc>
          <w:tcPr>
            <w:tcW w:type="dxa" w:w="3231"/>
            <w:shd w:val="clear" w:color="auto" w:fill="F2F5F8"/>
          </w:tcPr>
          <w:p>
            <w:pPr>
              <w:spacing w:after="0"/>
              <w:jc w:val="left"/>
            </w:pPr>
            <w:r/>
            <w:r>
              <w:rPr>
                <w:rFonts w:ascii="Calibri" w:hAnsi="Calibri"/>
                <w:b w:val="0"/>
                <w:color w:val="1A1A1A"/>
                <w:sz w:val="24"/>
              </w:rPr>
              <w:t>Sem regularização válida ou com situação vencida.</w:t>
            </w:r>
          </w:p>
        </w:tc>
        <w:tc>
          <w:tcPr>
            <w:tcW w:type="dxa" w:w="3642"/>
            <w:shd w:val="clear" w:color="auto" w:fill="F2F5F8"/>
          </w:tcPr>
          <w:p>
            <w:pPr>
              <w:spacing w:after="0"/>
              <w:jc w:val="left"/>
            </w:pPr>
            <w:r/>
            <w:r>
              <w:rPr>
                <w:rFonts w:ascii="Calibri" w:hAnsi="Calibri"/>
                <w:b w:val="0"/>
                <w:color w:val="1A1A1A"/>
                <w:sz w:val="24"/>
              </w:rPr>
              <w:t>Vedado. Não há hipótese de uso justificado por resultado clínico.</w:t>
            </w:r>
          </w:p>
        </w:tc>
      </w:tr>
    </w:tbl>
    <w:p>
      <w:pPr>
        <w:keepNext/>
        <w:spacing w:before="360" w:after="160"/>
        <w:jc w:val="left"/>
        <w:pBdr>
          <w:bottom w:val="single" w:sz="8" w:space="4" w:color="143C64"/>
        </w:pBdr>
      </w:pPr>
      <w:r>
        <w:rPr>
          <w:rFonts w:ascii="Calibri" w:hAnsi="Calibri"/>
          <w:b/>
          <w:color w:val="143C64"/>
          <w:sz w:val="30"/>
        </w:rPr>
        <w:t>10  Qualificação e educação continuada</w:t>
      </w:r>
    </w:p>
    <w:p>
      <w:pPr>
        <w:spacing w:after="120"/>
        <w:jc w:val="both"/>
      </w:pPr>
      <w:r>
        <w:rPr>
          <w:rFonts w:ascii="Calibri" w:hAnsi="Calibri"/>
          <w:b w:val="0"/>
          <w:i w:val="0"/>
          <w:color w:val="1A1A1A"/>
          <w:sz w:val="24"/>
        </w:rPr>
        <w:t>A dimensão 7 da Matriz de Avaliação Tecnológica exige capacitação comprovada. Este capítulo define o que comprova. Bloco construído a partir de contribuição interna ao grupo de trabalho.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793"/>
        <w:gridCol w:w="3095"/>
        <w:gridCol w:w="3184"/>
      </w:tblGrid>
      <w:tr>
        <w:trPr>
          <w:cantSplit/>
          <w:tblHeader/>
        </w:trPr>
        <w:tc>
          <w:tcPr>
            <w:tcW w:type="dxa" w:w="2793"/>
            <w:shd w:val="clear" w:color="auto" w:fill="143C64"/>
          </w:tcPr>
          <w:p>
            <w:pPr>
              <w:spacing w:after="0"/>
              <w:jc w:val="left"/>
            </w:pPr>
            <w:r/>
            <w:r>
              <w:rPr>
                <w:rFonts w:ascii="Calibri" w:hAnsi="Calibri"/>
                <w:b/>
                <w:color w:val="FFFFFF"/>
                <w:sz w:val="24"/>
              </w:rPr>
              <w:t>Requisito</w:t>
            </w:r>
          </w:p>
        </w:tc>
        <w:tc>
          <w:tcPr>
            <w:tcW w:type="dxa" w:w="3095"/>
            <w:shd w:val="clear" w:color="auto" w:fill="143C64"/>
          </w:tcPr>
          <w:p>
            <w:pPr>
              <w:spacing w:after="0"/>
              <w:jc w:val="left"/>
            </w:pPr>
            <w:r/>
            <w:r>
              <w:rPr>
                <w:rFonts w:ascii="Calibri" w:hAnsi="Calibri"/>
                <w:b/>
                <w:color w:val="FFFFFF"/>
                <w:sz w:val="24"/>
              </w:rPr>
              <w:t>Evidência que o comprova</w:t>
            </w:r>
          </w:p>
        </w:tc>
        <w:tc>
          <w:tcPr>
            <w:tcW w:type="dxa" w:w="3184"/>
            <w:shd w:val="clear" w:color="auto" w:fill="143C64"/>
          </w:tcPr>
          <w:p>
            <w:pPr>
              <w:spacing w:after="0"/>
              <w:jc w:val="left"/>
            </w:pPr>
            <w:r/>
            <w:r>
              <w:rPr>
                <w:rFonts w:ascii="Calibri" w:hAnsi="Calibri"/>
                <w:b/>
                <w:color w:val="FFFFFF"/>
                <w:sz w:val="24"/>
              </w:rPr>
              <w:t>Periodicidade</w:t>
            </w:r>
          </w:p>
        </w:tc>
      </w:tr>
      <w:tr>
        <w:trPr>
          <w:cantSplit/>
        </w:trPr>
        <w:tc>
          <w:tcPr>
            <w:tcW w:type="dxa" w:w="2793"/>
          </w:tcPr>
          <w:p>
            <w:pPr>
              <w:spacing w:after="0"/>
              <w:jc w:val="left"/>
            </w:pPr>
            <w:r/>
            <w:r>
              <w:rPr>
                <w:rFonts w:ascii="Calibri" w:hAnsi="Calibri"/>
                <w:b w:val="0"/>
                <w:color w:val="1A1A1A"/>
                <w:sz w:val="24"/>
              </w:rPr>
              <w:t>Capacitação inicial para a tecnologia</w:t>
            </w:r>
          </w:p>
        </w:tc>
        <w:tc>
          <w:tcPr>
            <w:tcW w:type="dxa" w:w="3095"/>
          </w:tcPr>
          <w:p>
            <w:pPr>
              <w:spacing w:after="0"/>
              <w:jc w:val="left"/>
            </w:pPr>
            <w:r/>
            <w:r>
              <w:rPr>
                <w:rFonts w:ascii="Calibri" w:hAnsi="Calibri"/>
                <w:b w:val="0"/>
                <w:color w:val="1A1A1A"/>
                <w:sz w:val="24"/>
              </w:rPr>
              <w:t>Registro com conteúdo, carga horária, instrutor, data e avaliação de competência.</w:t>
            </w:r>
          </w:p>
        </w:tc>
        <w:tc>
          <w:tcPr>
            <w:tcW w:type="dxa" w:w="3184"/>
          </w:tcPr>
          <w:p>
            <w:pPr>
              <w:spacing w:after="0"/>
              <w:jc w:val="left"/>
            </w:pPr>
            <w:r/>
            <w:r>
              <w:rPr>
                <w:rFonts w:ascii="Calibri" w:hAnsi="Calibri"/>
                <w:b w:val="0"/>
                <w:color w:val="1A1A1A"/>
                <w:sz w:val="24"/>
              </w:rPr>
              <w:t>Antes do primeiro uso.</w:t>
            </w:r>
          </w:p>
        </w:tc>
      </w:tr>
      <w:tr>
        <w:trPr>
          <w:cantSplit/>
        </w:trPr>
        <w:tc>
          <w:tcPr>
            <w:tcW w:type="dxa" w:w="2793"/>
            <w:shd w:val="clear" w:color="auto" w:fill="F2F5F8"/>
          </w:tcPr>
          <w:p>
            <w:pPr>
              <w:spacing w:after="0"/>
              <w:jc w:val="left"/>
            </w:pPr>
            <w:r/>
            <w:r>
              <w:rPr>
                <w:rFonts w:ascii="Calibri" w:hAnsi="Calibri"/>
                <w:b w:val="0"/>
                <w:color w:val="1A1A1A"/>
                <w:sz w:val="24"/>
              </w:rPr>
              <w:t>Treinamento da equipe quanto a fluxo de urgência e localização de recursos</w:t>
            </w:r>
          </w:p>
        </w:tc>
        <w:tc>
          <w:tcPr>
            <w:tcW w:type="dxa" w:w="3095"/>
            <w:shd w:val="clear" w:color="auto" w:fill="F2F5F8"/>
          </w:tcPr>
          <w:p>
            <w:pPr>
              <w:spacing w:after="0"/>
              <w:jc w:val="left"/>
            </w:pPr>
            <w:r/>
            <w:r>
              <w:rPr>
                <w:rFonts w:ascii="Calibri" w:hAnsi="Calibri"/>
                <w:b w:val="0"/>
                <w:color w:val="1A1A1A"/>
                <w:sz w:val="24"/>
              </w:rPr>
              <w:t>Lista de presença, conteúdo e data.</w:t>
            </w:r>
          </w:p>
        </w:tc>
        <w:tc>
          <w:tcPr>
            <w:tcW w:type="dxa" w:w="3184"/>
            <w:shd w:val="clear" w:color="auto" w:fill="F2F5F8"/>
          </w:tcPr>
          <w:p>
            <w:pPr>
              <w:spacing w:after="0"/>
              <w:jc w:val="left"/>
            </w:pPr>
            <w:r/>
            <w:r>
              <w:rPr>
                <w:rFonts w:ascii="Calibri" w:hAnsi="Calibri"/>
                <w:b w:val="0"/>
                <w:color w:val="1A1A1A"/>
                <w:sz w:val="24"/>
              </w:rPr>
              <w:t>Semestral e a cada novo integrante.</w:t>
            </w:r>
          </w:p>
        </w:tc>
      </w:tr>
      <w:tr>
        <w:trPr>
          <w:cantSplit/>
        </w:trPr>
        <w:tc>
          <w:tcPr>
            <w:tcW w:type="dxa" w:w="2793"/>
          </w:tcPr>
          <w:p>
            <w:pPr>
              <w:spacing w:after="0"/>
              <w:jc w:val="left"/>
            </w:pPr>
            <w:r/>
            <w:r>
              <w:rPr>
                <w:rFonts w:ascii="Calibri" w:hAnsi="Calibri"/>
                <w:b w:val="0"/>
                <w:color w:val="1A1A1A"/>
                <w:sz w:val="24"/>
              </w:rPr>
              <w:t>Atualização sobre técnica, evidência e tecnologia</w:t>
            </w:r>
          </w:p>
        </w:tc>
        <w:tc>
          <w:tcPr>
            <w:tcW w:type="dxa" w:w="3095"/>
          </w:tcPr>
          <w:p>
            <w:pPr>
              <w:spacing w:after="0"/>
              <w:jc w:val="left"/>
            </w:pPr>
            <w:r/>
            <w:r>
              <w:rPr>
                <w:rFonts w:ascii="Calibri" w:hAnsi="Calibri"/>
                <w:b w:val="0"/>
                <w:color w:val="1A1A1A"/>
                <w:sz w:val="24"/>
              </w:rPr>
              <w:t>Registro de cursos, eventos e leituras dirigidas relevantes ao escopo do serviço.</w:t>
            </w:r>
          </w:p>
        </w:tc>
        <w:tc>
          <w:tcPr>
            <w:tcW w:type="dxa" w:w="3184"/>
          </w:tcPr>
          <w:p>
            <w:pPr>
              <w:spacing w:after="0"/>
              <w:jc w:val="left"/>
            </w:pPr>
            <w:r/>
            <w:r>
              <w:rPr>
                <w:rFonts w:ascii="Calibri" w:hAnsi="Calibri"/>
                <w:b w:val="0"/>
                <w:color w:val="1A1A1A"/>
                <w:sz w:val="24"/>
              </w:rPr>
              <w:t>Contínua, com revisão anual do registro.</w:t>
            </w:r>
          </w:p>
        </w:tc>
      </w:tr>
      <w:tr>
        <w:trPr>
          <w:cantSplit/>
        </w:trPr>
        <w:tc>
          <w:tcPr>
            <w:tcW w:type="dxa" w:w="2793"/>
            <w:shd w:val="clear" w:color="auto" w:fill="F2F5F8"/>
          </w:tcPr>
          <w:p>
            <w:pPr>
              <w:spacing w:after="0"/>
              <w:jc w:val="left"/>
            </w:pPr>
            <w:r/>
            <w:r>
              <w:rPr>
                <w:rFonts w:ascii="Calibri" w:hAnsi="Calibri"/>
                <w:b w:val="0"/>
                <w:color w:val="1A1A1A"/>
                <w:sz w:val="24"/>
              </w:rPr>
              <w:t>Revisão de literatura e de protocolos do serviço</w:t>
            </w:r>
          </w:p>
        </w:tc>
        <w:tc>
          <w:tcPr>
            <w:tcW w:type="dxa" w:w="3095"/>
            <w:shd w:val="clear" w:color="auto" w:fill="F2F5F8"/>
          </w:tcPr>
          <w:p>
            <w:pPr>
              <w:spacing w:after="0"/>
              <w:jc w:val="left"/>
            </w:pPr>
            <w:r/>
            <w:r>
              <w:rPr>
                <w:rFonts w:ascii="Calibri" w:hAnsi="Calibri"/>
                <w:b w:val="0"/>
                <w:color w:val="1A1A1A"/>
                <w:sz w:val="24"/>
              </w:rPr>
              <w:t>Ata ou registro de revisão, com decisão sobre manter ou alterar o POP.</w:t>
            </w:r>
          </w:p>
        </w:tc>
        <w:tc>
          <w:tcPr>
            <w:tcW w:type="dxa" w:w="3184"/>
            <w:shd w:val="clear" w:color="auto" w:fill="F2F5F8"/>
          </w:tcPr>
          <w:p>
            <w:pPr>
              <w:spacing w:after="0"/>
              <w:jc w:val="left"/>
            </w:pPr>
            <w:r/>
            <w:r>
              <w:rPr>
                <w:rFonts w:ascii="Calibri" w:hAnsi="Calibri"/>
                <w:b w:val="0"/>
                <w:color w:val="1A1A1A"/>
                <w:sz w:val="24"/>
              </w:rPr>
              <w:t>Anual, ou diante de nova evidência relevante.</w:t>
            </w:r>
          </w:p>
        </w:tc>
      </w:tr>
      <w:tr>
        <w:trPr>
          <w:cantSplit/>
        </w:trPr>
        <w:tc>
          <w:tcPr>
            <w:tcW w:type="dxa" w:w="2793"/>
          </w:tcPr>
          <w:p>
            <w:pPr>
              <w:spacing w:after="0"/>
              <w:jc w:val="left"/>
            </w:pPr>
            <w:r/>
            <w:r>
              <w:rPr>
                <w:rFonts w:ascii="Calibri" w:hAnsi="Calibri"/>
                <w:b w:val="0"/>
                <w:color w:val="1A1A1A"/>
                <w:sz w:val="24"/>
              </w:rPr>
              <w:t>Reciclagem após mudança de versão, de fornecedor ou de parâmetro</w:t>
            </w:r>
          </w:p>
        </w:tc>
        <w:tc>
          <w:tcPr>
            <w:tcW w:type="dxa" w:w="3095"/>
          </w:tcPr>
          <w:p>
            <w:pPr>
              <w:spacing w:after="0"/>
              <w:jc w:val="left"/>
            </w:pPr>
            <w:r/>
            <w:r>
              <w:rPr>
                <w:rFonts w:ascii="Calibri" w:hAnsi="Calibri"/>
                <w:b w:val="0"/>
                <w:color w:val="1A1A1A"/>
                <w:sz w:val="24"/>
              </w:rPr>
              <w:t>Registro de treinamento específico da mudança.</w:t>
            </w:r>
          </w:p>
        </w:tc>
        <w:tc>
          <w:tcPr>
            <w:tcW w:type="dxa" w:w="3184"/>
          </w:tcPr>
          <w:p>
            <w:pPr>
              <w:spacing w:after="0"/>
              <w:jc w:val="left"/>
            </w:pPr>
            <w:r/>
            <w:r>
              <w:rPr>
                <w:rFonts w:ascii="Calibri" w:hAnsi="Calibri"/>
                <w:b w:val="0"/>
                <w:color w:val="1A1A1A"/>
                <w:sz w:val="24"/>
              </w:rPr>
              <w:t>A cada alteração relevante.</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Critério de suficiência</w:t>
            </w:r>
          </w:p>
          <w:p>
            <w:pPr>
              <w:spacing w:after="0"/>
              <w:jc w:val="both"/>
            </w:pPr>
            <w:r>
              <w:rPr>
                <w:rFonts w:ascii="Calibri" w:hAnsi="Calibri"/>
                <w:color w:val="1A1A1A"/>
                <w:sz w:val="24"/>
              </w:rPr>
              <w:t>Capacitação não comprovada por registro equivale, para efeito da Matriz, a capacitação inexistente. O critério não julga a competência do profissional: apenas reconhece que a dimensão 7 exige evidência arquivada, como todas as demais.</w:t>
            </w:r>
          </w:p>
        </w:tc>
      </w:tr>
    </w:tbl>
    <w:p>
      <w:pPr>
        <w:spacing w:after="80"/>
      </w:pPr>
    </w:p>
    <w:p>
      <w:pPr>
        <w:keepNext/>
        <w:spacing w:before="360" w:after="160"/>
        <w:jc w:val="left"/>
        <w:pBdr>
          <w:bottom w:val="single" w:sz="8" w:space="4" w:color="143C64"/>
        </w:pBdr>
      </w:pPr>
      <w:r>
        <w:rPr>
          <w:rFonts w:ascii="Calibri" w:hAnsi="Calibri"/>
          <w:b/>
          <w:color w:val="143C64"/>
          <w:sz w:val="30"/>
        </w:rPr>
        <w:t>11  Lacunas declaradas e revisão</w:t>
      </w:r>
    </w:p>
    <w:p>
      <w:pPr>
        <w:pStyle w:val="ListBullet"/>
        <w:spacing w:after="60"/>
        <w:ind w:left="397"/>
        <w:jc w:val="both"/>
      </w:pPr>
      <w:r>
        <w:rPr>
          <w:rFonts w:ascii="Calibri" w:hAnsi="Calibri"/>
          <w:color w:val="1A1A1A"/>
          <w:sz w:val="24"/>
        </w:rPr>
        <w:t>PENDÊNCIA INSTITUCIONAL. A matriz de periodicidade por tipo de equipamento deve ser elaborada pelo Núcleo com apoio técnico especializado. Este Manual estabelece o critério, não o prazo.</w:t>
      </w:r>
    </w:p>
    <w:p>
      <w:pPr>
        <w:pStyle w:val="ListBullet"/>
        <w:spacing w:after="60"/>
        <w:ind w:left="397"/>
        <w:jc w:val="both"/>
      </w:pPr>
      <w:r>
        <w:rPr>
          <w:rFonts w:ascii="Calibri" w:hAnsi="Calibri"/>
          <w:color w:val="1A1A1A"/>
          <w:sz w:val="24"/>
        </w:rPr>
        <w:t>PENDÊNCIA INSTITUCIONAL. Requisitos sanitários estaduais complementares dependem de resposta à consulta formal protocolada.</w:t>
      </w:r>
    </w:p>
    <w:p>
      <w:pPr>
        <w:pStyle w:val="ListBullet"/>
        <w:spacing w:after="60"/>
        <w:ind w:left="397"/>
        <w:jc w:val="both"/>
      </w:pPr>
      <w:r>
        <w:rPr>
          <w:rFonts w:ascii="Calibri" w:hAnsi="Calibri"/>
          <w:color w:val="1A1A1A"/>
          <w:sz w:val="24"/>
        </w:rPr>
        <w:t>Revisão obrigatória em até doze meses, ou imediatamente diante de alteração normativa, alerta sanitário ou recolhimento relevante.</w:t>
      </w: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38"/>
        <w:gridCol w:w="3092"/>
        <w:gridCol w:w="3842"/>
      </w:tblGrid>
      <w:tr>
        <w:trPr>
          <w:cantSplit/>
          <w:tblHeader/>
        </w:trPr>
        <w:tc>
          <w:tcPr>
            <w:tcW w:type="dxa" w:w="2138"/>
            <w:shd w:val="clear" w:color="auto" w:fill="143C64"/>
          </w:tcPr>
          <w:p>
            <w:pPr>
              <w:spacing w:after="0"/>
              <w:jc w:val="left"/>
            </w:pPr>
            <w:r/>
            <w:r>
              <w:rPr>
                <w:rFonts w:ascii="Calibri" w:hAnsi="Calibri"/>
                <w:b/>
                <w:color w:val="FFFFFF"/>
                <w:sz w:val="24"/>
              </w:rPr>
              <w:t>Ato</w:t>
            </w:r>
          </w:p>
        </w:tc>
        <w:tc>
          <w:tcPr>
            <w:tcW w:type="dxa" w:w="3092"/>
            <w:shd w:val="clear" w:color="auto" w:fill="143C64"/>
          </w:tcPr>
          <w:p>
            <w:pPr>
              <w:spacing w:after="0"/>
              <w:jc w:val="left"/>
            </w:pPr>
            <w:r/>
            <w:r>
              <w:rPr>
                <w:rFonts w:ascii="Calibri" w:hAnsi="Calibri"/>
                <w:b/>
                <w:color w:val="FFFFFF"/>
                <w:sz w:val="24"/>
              </w:rPr>
              <w:t>Objeto</w:t>
            </w:r>
          </w:p>
        </w:tc>
        <w:tc>
          <w:tcPr>
            <w:tcW w:type="dxa" w:w="3842"/>
            <w:shd w:val="clear" w:color="auto" w:fill="143C64"/>
          </w:tcPr>
          <w:p>
            <w:pPr>
              <w:spacing w:after="0"/>
              <w:jc w:val="left"/>
            </w:pPr>
            <w:r/>
            <w:r>
              <w:rPr>
                <w:rFonts w:ascii="Calibri" w:hAnsi="Calibri"/>
                <w:b/>
                <w:color w:val="FFFFFF"/>
                <w:sz w:val="24"/>
              </w:rPr>
              <w:t>Incidência no pacote</w:t>
            </w:r>
          </w:p>
        </w:tc>
      </w:tr>
      <w:tr>
        <w:trPr>
          <w:cantSplit/>
        </w:trPr>
        <w:tc>
          <w:tcPr>
            <w:tcW w:type="dxa" w:w="2138"/>
          </w:tcPr>
          <w:p>
            <w:pPr>
              <w:spacing w:after="0"/>
              <w:jc w:val="left"/>
            </w:pPr>
            <w:r/>
            <w:r>
              <w:rPr>
                <w:rFonts w:ascii="Calibri" w:hAnsi="Calibri"/>
                <w:b w:val="0"/>
                <w:color w:val="1A1A1A"/>
                <w:sz w:val="24"/>
              </w:rPr>
              <w:t>Lei nº 5.081, de 24 de agosto de 1966</w:t>
            </w:r>
          </w:p>
        </w:tc>
        <w:tc>
          <w:tcPr>
            <w:tcW w:type="dxa" w:w="3092"/>
          </w:tcPr>
          <w:p>
            <w:pPr>
              <w:spacing w:after="0"/>
              <w:jc w:val="left"/>
            </w:pPr>
            <w:r/>
            <w:r>
              <w:rPr>
                <w:rFonts w:ascii="Calibri" w:hAnsi="Calibri"/>
                <w:b w:val="0"/>
                <w:color w:val="1A1A1A"/>
                <w:sz w:val="24"/>
              </w:rPr>
              <w:t>Regula o exercício da Odontologia no Brasil.</w:t>
            </w:r>
          </w:p>
        </w:tc>
        <w:tc>
          <w:tcPr>
            <w:tcW w:type="dxa" w:w="3842"/>
          </w:tcPr>
          <w:p>
            <w:pPr>
              <w:spacing w:after="0"/>
              <w:jc w:val="left"/>
            </w:pPr>
            <w:r/>
            <w:r>
              <w:rPr>
                <w:rFonts w:ascii="Calibri" w:hAnsi="Calibri"/>
                <w:b w:val="0"/>
                <w:color w:val="1A1A1A"/>
                <w:sz w:val="24"/>
              </w:rPr>
              <w:t>Base legal do exercício profissional.</w:t>
            </w:r>
          </w:p>
        </w:tc>
      </w:tr>
      <w:tr>
        <w:trPr>
          <w:cantSplit/>
        </w:trPr>
        <w:tc>
          <w:tcPr>
            <w:tcW w:type="dxa" w:w="2138"/>
            <w:shd w:val="clear" w:color="auto" w:fill="F2F5F8"/>
          </w:tcPr>
          <w:p>
            <w:pPr>
              <w:spacing w:after="0"/>
              <w:jc w:val="left"/>
            </w:pPr>
            <w:r/>
            <w:r>
              <w:rPr>
                <w:rFonts w:ascii="Calibri" w:hAnsi="Calibri"/>
                <w:b w:val="0"/>
                <w:color w:val="1A1A1A"/>
                <w:sz w:val="24"/>
              </w:rPr>
              <w:t>Resolução CFO nº 118/2012</w:t>
            </w:r>
          </w:p>
        </w:tc>
        <w:tc>
          <w:tcPr>
            <w:tcW w:type="dxa" w:w="3092"/>
            <w:shd w:val="clear" w:color="auto" w:fill="F2F5F8"/>
          </w:tcPr>
          <w:p>
            <w:pPr>
              <w:spacing w:after="0"/>
              <w:jc w:val="left"/>
            </w:pPr>
            <w:r/>
            <w:r>
              <w:rPr>
                <w:rFonts w:ascii="Calibri" w:hAnsi="Calibri"/>
                <w:b w:val="0"/>
                <w:color w:val="1A1A1A"/>
                <w:sz w:val="24"/>
              </w:rPr>
              <w:t>Código de Ética Odontológica.</w:t>
            </w:r>
          </w:p>
        </w:tc>
        <w:tc>
          <w:tcPr>
            <w:tcW w:type="dxa" w:w="3842"/>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138"/>
          </w:tcPr>
          <w:p>
            <w:pPr>
              <w:spacing w:after="0"/>
              <w:jc w:val="left"/>
            </w:pPr>
            <w:r/>
            <w:r>
              <w:rPr>
                <w:rFonts w:ascii="Calibri" w:hAnsi="Calibri"/>
                <w:b w:val="0"/>
                <w:color w:val="1A1A1A"/>
                <w:sz w:val="24"/>
              </w:rPr>
              <w:t>RDC Anvisa nº 1.002, de 15 de dezembro de 2025</w:t>
            </w:r>
          </w:p>
        </w:tc>
        <w:tc>
          <w:tcPr>
            <w:tcW w:type="dxa" w:w="3092"/>
          </w:tcPr>
          <w:p>
            <w:pPr>
              <w:spacing w:after="0"/>
              <w:jc w:val="left"/>
            </w:pPr>
            <w:r/>
            <w:r>
              <w:rPr>
                <w:rFonts w:ascii="Calibri" w:hAnsi="Calibri"/>
                <w:b w:val="0"/>
                <w:color w:val="1A1A1A"/>
                <w:sz w:val="24"/>
              </w:rPr>
              <w:t>Boas Práticas de Funcionamento para serviços que prestam assistência odontológica.</w:t>
            </w:r>
          </w:p>
        </w:tc>
        <w:tc>
          <w:tcPr>
            <w:tcW w:type="dxa" w:w="3842"/>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138"/>
            <w:shd w:val="clear" w:color="auto" w:fill="F2F5F8"/>
          </w:tcPr>
          <w:p>
            <w:pPr>
              <w:spacing w:after="0"/>
              <w:jc w:val="left"/>
            </w:pPr>
            <w:r/>
            <w:r>
              <w:rPr>
                <w:rFonts w:ascii="Calibri" w:hAnsi="Calibri"/>
                <w:b w:val="0"/>
                <w:color w:val="1A1A1A"/>
                <w:sz w:val="24"/>
              </w:rPr>
              <w:t>RDC Anvisa nº 63/2011</w:t>
            </w:r>
          </w:p>
        </w:tc>
        <w:tc>
          <w:tcPr>
            <w:tcW w:type="dxa" w:w="3092"/>
            <w:shd w:val="clear" w:color="auto" w:fill="F2F5F8"/>
          </w:tcPr>
          <w:p>
            <w:pPr>
              <w:spacing w:after="0"/>
              <w:jc w:val="left"/>
            </w:pPr>
            <w:r/>
            <w:r>
              <w:rPr>
                <w:rFonts w:ascii="Calibri" w:hAnsi="Calibri"/>
                <w:b w:val="0"/>
                <w:color w:val="1A1A1A"/>
                <w:sz w:val="24"/>
              </w:rPr>
              <w:t>Boas Práticas de Funcionamento para serviços de saúde.</w:t>
            </w:r>
          </w:p>
        </w:tc>
        <w:tc>
          <w:tcPr>
            <w:tcW w:type="dxa" w:w="3842"/>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138"/>
          </w:tcPr>
          <w:p>
            <w:pPr>
              <w:spacing w:after="0"/>
              <w:jc w:val="left"/>
            </w:pPr>
            <w:r/>
            <w:r>
              <w:rPr>
                <w:rFonts w:ascii="Calibri" w:hAnsi="Calibri"/>
                <w:b w:val="0"/>
                <w:color w:val="1A1A1A"/>
                <w:sz w:val="24"/>
              </w:rPr>
              <w:t>RDC Anvisa nº 509/2021</w:t>
            </w:r>
          </w:p>
        </w:tc>
        <w:tc>
          <w:tcPr>
            <w:tcW w:type="dxa" w:w="3092"/>
          </w:tcPr>
          <w:p>
            <w:pPr>
              <w:spacing w:after="0"/>
              <w:jc w:val="left"/>
            </w:pPr>
            <w:r/>
            <w:r>
              <w:rPr>
                <w:rFonts w:ascii="Calibri" w:hAnsi="Calibri"/>
                <w:b w:val="0"/>
                <w:color w:val="1A1A1A"/>
                <w:sz w:val="24"/>
              </w:rPr>
              <w:t>Gerenciamento de tecnologias em serviços de saúde.</w:t>
            </w:r>
          </w:p>
        </w:tc>
        <w:tc>
          <w:tcPr>
            <w:tcW w:type="dxa" w:w="3842"/>
          </w:tcPr>
          <w:p>
            <w:pPr>
              <w:spacing w:after="0"/>
              <w:jc w:val="left"/>
            </w:pPr>
            <w:r/>
            <w:r>
              <w:rPr>
                <w:rFonts w:ascii="Calibri" w:hAnsi="Calibri"/>
                <w:b w:val="0"/>
                <w:color w:val="1A1A1A"/>
                <w:sz w:val="24"/>
              </w:rPr>
              <w:t>Plano de gerenciamento, rastreabilidade, guarda e monitoramento.</w:t>
            </w:r>
          </w:p>
        </w:tc>
      </w:tr>
      <w:tr>
        <w:trPr>
          <w:cantSplit/>
        </w:trPr>
        <w:tc>
          <w:tcPr>
            <w:tcW w:type="dxa" w:w="2138"/>
            <w:shd w:val="clear" w:color="auto" w:fill="F2F5F8"/>
          </w:tcPr>
          <w:p>
            <w:pPr>
              <w:spacing w:after="0"/>
              <w:jc w:val="left"/>
            </w:pPr>
            <w:r/>
            <w:r>
              <w:rPr>
                <w:rFonts w:ascii="Calibri" w:hAnsi="Calibri"/>
                <w:b w:val="0"/>
                <w:color w:val="1A1A1A"/>
                <w:sz w:val="24"/>
              </w:rPr>
              <w:t>RDC Anvisa nº 751/2022</w:t>
            </w:r>
          </w:p>
        </w:tc>
        <w:tc>
          <w:tcPr>
            <w:tcW w:type="dxa" w:w="3092"/>
            <w:shd w:val="clear" w:color="auto" w:fill="F2F5F8"/>
          </w:tcPr>
          <w:p>
            <w:pPr>
              <w:spacing w:after="0"/>
              <w:jc w:val="left"/>
            </w:pPr>
            <w:r/>
            <w:r>
              <w:rPr>
                <w:rFonts w:ascii="Calibri" w:hAnsi="Calibri"/>
                <w:b w:val="0"/>
                <w:color w:val="1A1A1A"/>
                <w:sz w:val="24"/>
              </w:rPr>
              <w:t>Dispositivos médicos: classificação e regularização.</w:t>
            </w:r>
          </w:p>
        </w:tc>
        <w:tc>
          <w:tcPr>
            <w:tcW w:type="dxa" w:w="3842"/>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138"/>
          </w:tcPr>
          <w:p>
            <w:pPr>
              <w:spacing w:after="0"/>
              <w:jc w:val="left"/>
            </w:pPr>
            <w:r/>
            <w:r>
              <w:rPr>
                <w:rFonts w:ascii="Calibri" w:hAnsi="Calibri"/>
                <w:b w:val="0"/>
                <w:color w:val="1A1A1A"/>
                <w:sz w:val="24"/>
              </w:rPr>
              <w:t>RDC Anvisa nº 549/2021</w:t>
            </w:r>
          </w:p>
        </w:tc>
        <w:tc>
          <w:tcPr>
            <w:tcW w:type="dxa" w:w="3092"/>
          </w:tcPr>
          <w:p>
            <w:pPr>
              <w:spacing w:after="0"/>
              <w:jc w:val="left"/>
            </w:pPr>
            <w:r/>
            <w:r>
              <w:rPr>
                <w:rFonts w:ascii="Calibri" w:hAnsi="Calibri"/>
                <w:b w:val="0"/>
                <w:color w:val="1A1A1A"/>
                <w:sz w:val="24"/>
              </w:rPr>
              <w:t>Certificação de conformidade de equipamentos sob regime aplicável.</w:t>
            </w:r>
          </w:p>
        </w:tc>
        <w:tc>
          <w:tcPr>
            <w:tcW w:type="dxa" w:w="3842"/>
          </w:tcPr>
          <w:p>
            <w:pPr>
              <w:spacing w:after="0"/>
              <w:jc w:val="left"/>
            </w:pPr>
            <w:r/>
            <w:r>
              <w:rPr>
                <w:rFonts w:ascii="Calibri" w:hAnsi="Calibri"/>
                <w:b w:val="0"/>
                <w:color w:val="1A1A1A"/>
                <w:sz w:val="24"/>
              </w:rPr>
              <w:t>Conformidade de equipamentos eletromédicos.</w:t>
            </w:r>
          </w:p>
        </w:tc>
      </w:tr>
      <w:tr>
        <w:trPr>
          <w:cantSplit/>
        </w:trPr>
        <w:tc>
          <w:tcPr>
            <w:tcW w:type="dxa" w:w="2138"/>
            <w:shd w:val="clear" w:color="auto" w:fill="F2F5F8"/>
          </w:tcPr>
          <w:p>
            <w:pPr>
              <w:spacing w:after="0"/>
              <w:jc w:val="left"/>
            </w:pPr>
            <w:r/>
            <w:r>
              <w:rPr>
                <w:rFonts w:ascii="Calibri" w:hAnsi="Calibri"/>
                <w:b w:val="0"/>
                <w:color w:val="1A1A1A"/>
                <w:sz w:val="24"/>
              </w:rPr>
              <w:t>Lei nº 13.709/2018</w:t>
            </w:r>
          </w:p>
        </w:tc>
        <w:tc>
          <w:tcPr>
            <w:tcW w:type="dxa" w:w="3092"/>
            <w:shd w:val="clear" w:color="auto" w:fill="F2F5F8"/>
          </w:tcPr>
          <w:p>
            <w:pPr>
              <w:spacing w:after="0"/>
              <w:jc w:val="left"/>
            </w:pPr>
            <w:r/>
            <w:r>
              <w:rPr>
                <w:rFonts w:ascii="Calibri" w:hAnsi="Calibri"/>
                <w:b w:val="0"/>
                <w:color w:val="1A1A1A"/>
                <w:sz w:val="24"/>
              </w:rPr>
              <w:t>Lei Geral de Proteção de Dados Pessoais.</w:t>
            </w:r>
          </w:p>
        </w:tc>
        <w:tc>
          <w:tcPr>
            <w:tcW w:type="dxa" w:w="3842"/>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138"/>
          </w:tcPr>
          <w:p>
            <w:pPr>
              <w:spacing w:after="0"/>
              <w:jc w:val="left"/>
            </w:pPr>
            <w:r/>
            <w:r>
              <w:rPr>
                <w:rFonts w:ascii="Calibri" w:hAnsi="Calibri"/>
                <w:b w:val="0"/>
                <w:color w:val="1A1A1A"/>
                <w:sz w:val="24"/>
              </w:rPr>
              <w:t>Lei nº 15.378, de 6 de abril de 2026</w:t>
            </w:r>
          </w:p>
        </w:tc>
        <w:tc>
          <w:tcPr>
            <w:tcW w:type="dxa" w:w="3092"/>
          </w:tcPr>
          <w:p>
            <w:pPr>
              <w:spacing w:after="0"/>
              <w:jc w:val="left"/>
            </w:pPr>
            <w:r/>
            <w:r>
              <w:rPr>
                <w:rFonts w:ascii="Calibri" w:hAnsi="Calibri"/>
                <w:b w:val="0"/>
                <w:color w:val="1A1A1A"/>
                <w:sz w:val="24"/>
              </w:rPr>
              <w:t>Institui o Estatuto dos Direitos do Paciente.</w:t>
            </w:r>
          </w:p>
        </w:tc>
        <w:tc>
          <w:tcPr>
            <w:tcW w:type="dxa" w:w="3842"/>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138"/>
            <w:shd w:val="clear" w:color="auto" w:fill="F2F5F8"/>
          </w:tcPr>
          <w:p>
            <w:pPr>
              <w:spacing w:after="0"/>
              <w:jc w:val="left"/>
            </w:pPr>
            <w:r/>
            <w:r>
              <w:rPr>
                <w:rFonts w:ascii="Calibri" w:hAnsi="Calibri"/>
                <w:b w:val="0"/>
                <w:color w:val="1A1A1A"/>
                <w:sz w:val="24"/>
              </w:rPr>
              <w:t>Lei nº 12.842/2013</w:t>
            </w:r>
          </w:p>
        </w:tc>
        <w:tc>
          <w:tcPr>
            <w:tcW w:type="dxa" w:w="3092"/>
            <w:shd w:val="clear" w:color="auto" w:fill="F2F5F8"/>
          </w:tcPr>
          <w:p>
            <w:pPr>
              <w:spacing w:after="0"/>
              <w:jc w:val="left"/>
            </w:pPr>
            <w:r/>
            <w:r>
              <w:rPr>
                <w:rFonts w:ascii="Calibri" w:hAnsi="Calibri"/>
                <w:b w:val="0"/>
                <w:color w:val="1A1A1A"/>
                <w:sz w:val="24"/>
              </w:rPr>
              <w:t>Lei do Ato Médico.</w:t>
            </w:r>
          </w:p>
        </w:tc>
        <w:tc>
          <w:tcPr>
            <w:tcW w:type="dxa" w:w="3842"/>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138"/>
          </w:tcPr>
          <w:p>
            <w:pPr>
              <w:spacing w:after="0"/>
              <w:jc w:val="left"/>
            </w:pPr>
            <w:r/>
            <w:r>
              <w:rPr>
                <w:rFonts w:ascii="Calibri" w:hAnsi="Calibri"/>
                <w:b w:val="0"/>
                <w:color w:val="1A1A1A"/>
                <w:sz w:val="24"/>
              </w:rPr>
              <w:t>Portaria CRO-MG nº 190/2026</w:t>
            </w:r>
          </w:p>
        </w:tc>
        <w:tc>
          <w:tcPr>
            <w:tcW w:type="dxa" w:w="3092"/>
          </w:tcPr>
          <w:p>
            <w:pPr>
              <w:spacing w:after="0"/>
              <w:jc w:val="left"/>
            </w:pPr>
            <w:r/>
            <w:r>
              <w:rPr>
                <w:rFonts w:ascii="Calibri" w:hAnsi="Calibri"/>
                <w:b w:val="0"/>
                <w:color w:val="1A1A1A"/>
                <w:sz w:val="24"/>
              </w:rPr>
              <w:t>Constitui a Câmara Técnica de HOF e seus Núcleos.</w:t>
            </w:r>
          </w:p>
        </w:tc>
        <w:tc>
          <w:tcPr>
            <w:tcW w:type="dxa" w:w="3842"/>
          </w:tcPr>
          <w:p>
            <w:pPr>
              <w:spacing w:after="0"/>
              <w:jc w:val="left"/>
            </w:pPr>
            <w:r/>
            <w:r>
              <w:rPr>
                <w:rFonts w:ascii="Calibri" w:hAnsi="Calibri"/>
                <w:b w:val="0"/>
                <w:color w:val="1A1A1A"/>
                <w:sz w:val="24"/>
              </w:rPr>
              <w:t>Competência e composição do Núcleo 5.</w:t>
            </w:r>
          </w:p>
        </w:tc>
      </w:tr>
    </w:tbl>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N5-MAN-01 · Manual de Boas Práticas em Tecnologias · versão 2.0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N5-MAN-01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