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POP-N5-04  Aplicação de toxina botulínica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POP-N5-04. Versão 1.0. Emissão em 26 de agosto de 2026. Próxima revisão em até doze meses. Onda de produção 1.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o processo de aplicação de toxina botulínica, com ênfase em reconstituição controlada, rastreabilidade e orientação sobre efeitos adversos previsíveis. Não define dose, diluição nem pontos de aplicação, que dependem do produto e do planejamento individual.</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Produto regularizado, com finalidade aprovada compatível com a indicação pretendida. Registrar número, situação, finalidade, data da consulta e responsável. Observar as condições de armazenamento e de reconstituição previstas na instrução de uso.</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com capacitação registrada em anatomia da musculatura facial e na técnica empregada.</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Produto regularizado dentro da validade; diluente conforme instrução de uso; seringas e agulhas compatíveis; material de antissepsia; equipamento de proteção individual; condições de refrigeração conforme rotulagem; registro de lote.</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Consentimento específico assinado, com registro dos efeitos adversos previsíveis.</w:t>
      </w:r>
    </w:p>
    <w:p>
      <w:pPr>
        <w:pStyle w:val="ListBullet"/>
        <w:spacing w:after="60"/>
        <w:ind w:left="397"/>
        <w:jc w:val="both"/>
      </w:pPr>
      <w:r>
        <w:rPr>
          <w:rFonts w:ascii="Calibri" w:hAnsi="Calibri"/>
          <w:color w:val="1A1A1A"/>
          <w:sz w:val="24"/>
        </w:rPr>
        <w:t>☐  Contraindicações reavaliadas, incluindo doença neuromuscular conhecida, gestação, lactação e infecção no local de aplicação.</w:t>
      </w:r>
    </w:p>
    <w:p>
      <w:pPr>
        <w:pStyle w:val="ListBullet"/>
        <w:spacing w:after="60"/>
        <w:ind w:left="397"/>
        <w:jc w:val="both"/>
      </w:pPr>
      <w:r>
        <w:rPr>
          <w:rFonts w:ascii="Calibri" w:hAnsi="Calibri"/>
          <w:color w:val="1A1A1A"/>
          <w:sz w:val="24"/>
        </w:rPr>
        <w:t>☐  Medicações em uso reavaliadas quanto a interação relevante.</w:t>
      </w:r>
    </w:p>
    <w:p>
      <w:pPr>
        <w:pStyle w:val="ListBullet"/>
        <w:spacing w:after="60"/>
        <w:ind w:left="397"/>
        <w:jc w:val="both"/>
      </w:pPr>
      <w:r>
        <w:rPr>
          <w:rFonts w:ascii="Calibri" w:hAnsi="Calibri"/>
          <w:color w:val="1A1A1A"/>
          <w:sz w:val="24"/>
        </w:rPr>
        <w:t>☐  Cadeia de conservação verificada, com registro da temperatura quando o serviço a monitorar.</w:t>
      </w:r>
    </w:p>
    <w:p>
      <w:pPr>
        <w:pStyle w:val="ListBullet"/>
        <w:spacing w:after="60"/>
        <w:ind w:left="397"/>
        <w:jc w:val="both"/>
      </w:pPr>
      <w:r>
        <w:rPr>
          <w:rFonts w:ascii="Calibri" w:hAnsi="Calibri"/>
          <w:color w:val="1A1A1A"/>
          <w:sz w:val="24"/>
        </w:rPr>
        <w:t>☐  Reconstituição realizada conforme instrução de uso, com registro de diluição e horário.</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Realizar a pausa de segurança prevista no Checklist.</w:t>
      </w:r>
    </w:p>
    <w:p>
      <w:pPr>
        <w:pStyle w:val="ListNumber"/>
        <w:spacing w:after="60"/>
        <w:ind w:left="397"/>
        <w:jc w:val="both"/>
      </w:pPr>
      <w:r>
        <w:rPr>
          <w:rFonts w:ascii="Calibri" w:hAnsi="Calibri"/>
          <w:color w:val="1A1A1A"/>
          <w:sz w:val="24"/>
        </w:rPr>
        <w:t>Marcar os pontos conforme planejamento e avaliação dinâmica da musculatura.</w:t>
      </w:r>
    </w:p>
    <w:p>
      <w:pPr>
        <w:pStyle w:val="ListNumber"/>
        <w:spacing w:after="60"/>
        <w:ind w:left="397"/>
        <w:jc w:val="both"/>
      </w:pPr>
      <w:r>
        <w:rPr>
          <w:rFonts w:ascii="Calibri" w:hAnsi="Calibri"/>
          <w:color w:val="1A1A1A"/>
          <w:sz w:val="24"/>
        </w:rPr>
        <w:t>Realizar antissepsia conforme rotina do serviço.</w:t>
      </w:r>
    </w:p>
    <w:p>
      <w:pPr>
        <w:pStyle w:val="ListNumber"/>
        <w:spacing w:after="60"/>
        <w:ind w:left="397"/>
        <w:jc w:val="both"/>
      </w:pPr>
      <w:r>
        <w:rPr>
          <w:rFonts w:ascii="Calibri" w:hAnsi="Calibri"/>
          <w:color w:val="1A1A1A"/>
          <w:sz w:val="24"/>
        </w:rPr>
        <w:t>Aplicar conforme instruções de uso e planejamento, observando os parâmetros registrados no campo de preenchimento do serviço.</w:t>
      </w:r>
    </w:p>
    <w:p>
      <w:pPr>
        <w:pStyle w:val="ListNumber"/>
        <w:spacing w:after="60"/>
        <w:ind w:left="397"/>
        <w:jc w:val="both"/>
      </w:pPr>
      <w:r>
        <w:rPr>
          <w:rFonts w:ascii="Calibri" w:hAnsi="Calibri"/>
          <w:color w:val="1A1A1A"/>
          <w:sz w:val="24"/>
        </w:rPr>
        <w:t>Registrar imediatamente a quantidade aplicada por ponto e por região.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Sinais de reação de hipersensibilidade durante ou após a aplicação.</w:t>
      </w:r>
    </w:p>
    <w:p>
      <w:pPr>
        <w:pStyle w:val="ListBullet"/>
        <w:spacing w:after="60"/>
        <w:ind w:left="397"/>
        <w:jc w:val="both"/>
      </w:pPr>
      <w:r>
        <w:rPr>
          <w:rFonts w:ascii="Calibri" w:hAnsi="Calibri"/>
          <w:color w:val="1A1A1A"/>
          <w:sz w:val="24"/>
        </w:rPr>
        <w:t>Sangramento ou hematoma em expansão.</w:t>
      </w:r>
    </w:p>
    <w:p>
      <w:pPr>
        <w:pStyle w:val="ListBullet"/>
        <w:spacing w:after="60"/>
        <w:ind w:left="397"/>
        <w:jc w:val="both"/>
      </w:pPr>
      <w:r>
        <w:rPr>
          <w:rFonts w:ascii="Calibri" w:hAnsi="Calibri"/>
          <w:color w:val="1A1A1A"/>
          <w:sz w:val="24"/>
        </w:rPr>
        <w:t>Queixa de alteração visual imediata.</w:t>
      </w:r>
    </w:p>
    <w:p>
      <w:pPr>
        <w:pStyle w:val="ListBullet"/>
        <w:spacing w:after="60"/>
        <w:ind w:left="397"/>
        <w:jc w:val="both"/>
      </w:pPr>
      <w:r>
        <w:rPr>
          <w:rFonts w:ascii="Calibri" w:hAnsi="Calibri"/>
          <w:color w:val="1A1A1A"/>
          <w:sz w:val="24"/>
        </w:rPr>
        <w:t>Assimetria ou ptose relatada no acompanhamento, que exige registro e orientação.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Reação sistêmica segue o POP-N5-10. Efeito adverso funcional, como ptose ou assimetria, deve ser registrado, explicado ao paciente quanto ao caráter temporário esperado, acompanhado e, quando pertinente, notificado como evento adverso conforme o POP-N5-17.</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Produto, fabricante, lote, validade, concentração e diluição utilizada.</w:t>
      </w:r>
    </w:p>
    <w:p>
      <w:pPr>
        <w:pStyle w:val="ListBullet"/>
        <w:spacing w:after="60"/>
        <w:ind w:left="397"/>
        <w:jc w:val="both"/>
      </w:pPr>
      <w:r>
        <w:rPr>
          <w:rFonts w:ascii="Calibri" w:hAnsi="Calibri"/>
          <w:color w:val="1A1A1A"/>
          <w:sz w:val="24"/>
        </w:rPr>
        <w:t>Quantidade aplicada por ponto e por região, com esquema anotado.</w:t>
      </w:r>
    </w:p>
    <w:p>
      <w:pPr>
        <w:pStyle w:val="ListBullet"/>
        <w:spacing w:after="60"/>
        <w:ind w:left="397"/>
        <w:jc w:val="both"/>
      </w:pPr>
      <w:r>
        <w:rPr>
          <w:rFonts w:ascii="Calibri" w:hAnsi="Calibri"/>
          <w:color w:val="1A1A1A"/>
          <w:sz w:val="24"/>
        </w:rPr>
        <w:t>Data e horário da reconstituição e da aplicação.</w:t>
      </w:r>
    </w:p>
    <w:p>
      <w:pPr>
        <w:pStyle w:val="ListBullet"/>
        <w:spacing w:after="60"/>
        <w:ind w:left="397"/>
        <w:jc w:val="both"/>
      </w:pPr>
      <w:r>
        <w:rPr>
          <w:rFonts w:ascii="Calibri" w:hAnsi="Calibri"/>
          <w:color w:val="1A1A1A"/>
          <w:sz w:val="24"/>
        </w:rPr>
        <w:t>Intercorrências e condutas.</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Orientar por escrito sobre cuidados imediatos, tempo até o efeito, possibilidade de assimetria temporária e sinais que exigem contato. Agendar reavaliação no prazo definido pelo serviço.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Instruções de uso do produto, com data de consulta. RDC Anvisa nº 1.002/2025 e nº 751/2022. Documentos 08 e 09 do pacote.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POP-N5-04 · Aplicação de toxina botulínica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POP-N5-04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