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PEÇAS DE COMUNICAÇÃO INSTITUCIONAL</w:t>
      </w:r>
    </w:p>
    <w:p>
      <w:pPr>
        <w:spacing w:after="160"/>
        <w:jc w:val="center"/>
      </w:pPr>
      <w:r>
        <w:rPr>
          <w:rFonts w:ascii="Calibri" w:hAnsi="Calibri"/>
          <w:b/>
          <w:color w:val="143C64"/>
          <w:sz w:val="48"/>
        </w:rPr>
        <w:t>Pacote de Comunicação HOF Segura</w:t>
      </w:r>
    </w:p>
    <w:p>
      <w:pPr>
        <w:spacing w:after="720"/>
        <w:jc w:val="center"/>
      </w:pPr>
      <w:r>
        <w:rPr>
          <w:rFonts w:ascii="Calibri" w:hAnsi="Calibri"/>
          <w:b w:val="0"/>
          <w:i w:val="0"/>
          <w:color w:val="444A52"/>
          <w:sz w:val="26"/>
        </w:rPr>
        <w:t>Carrossel institucional, roteiro de vídeo e regras de conformidade para apresentação da frente de inovação, tecnologias e segurança clínica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CT-HOF-COM-01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1.1</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26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Submetido à validação institucional e à área de Comunicação</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Diretriz editorial</w:t>
      </w:r>
    </w:p>
    <w:p>
      <w:pPr>
        <w:spacing w:after="120"/>
        <w:jc w:val="both"/>
      </w:pPr>
      <w:r>
        <w:rPr>
          <w:rFonts w:ascii="Calibri" w:hAnsi="Calibri"/>
          <w:b w:val="0"/>
          <w:i w:val="0"/>
          <w:color w:val="1A1A1A"/>
          <w:sz w:val="24"/>
        </w:rPr>
        <w:t>O conteúdo é identificado como iniciativa da Câmara Técnica de Harmonização Orofacial do CRO-MG. A menção ao Núcleo 5 permanece no controle interno e não é eixo da mensagem pública. A comunicação prioriza segurança clínica, inovação responsável, documentação, consulta a fontes oficiais e educação profissional.</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Carrossel institucional</w:t>
      </w:r>
    </w:p>
    <w:p>
      <w:pPr>
        <w:spacing w:after="120"/>
        <w:jc w:val="both"/>
      </w:pPr>
      <w:r>
        <w:rPr>
          <w:rFonts w:ascii="Calibri" w:hAnsi="Calibri"/>
          <w:b w:val="0"/>
          <w:i w:val="0"/>
          <w:color w:val="1A1A1A"/>
          <w:sz w:val="24"/>
        </w:rPr>
        <w:t>Tema: antes de incorporar uma tecnologia em Harmonização Orofacial, consulte. Dez cards, com arquivos de imagem e apresentação editável acompanhando este pacote.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267"/>
        <w:gridCol w:w="3562"/>
        <w:gridCol w:w="4244"/>
      </w:tblGrid>
      <w:tr>
        <w:trPr>
          <w:cantSplit/>
          <w:tblHeader/>
        </w:trPr>
        <w:tc>
          <w:tcPr>
            <w:tcW w:type="dxa" w:w="1267"/>
            <w:shd w:val="clear" w:color="auto" w:fill="143C64"/>
          </w:tcPr>
          <w:p>
            <w:pPr>
              <w:spacing w:after="0"/>
              <w:jc w:val="left"/>
            </w:pPr>
            <w:r/>
            <w:r>
              <w:rPr>
                <w:rFonts w:ascii="Calibri" w:hAnsi="Calibri"/>
                <w:b/>
                <w:color w:val="FFFFFF"/>
                <w:sz w:val="24"/>
              </w:rPr>
              <w:t>Card</w:t>
            </w:r>
          </w:p>
        </w:tc>
        <w:tc>
          <w:tcPr>
            <w:tcW w:type="dxa" w:w="3562"/>
            <w:shd w:val="clear" w:color="auto" w:fill="143C64"/>
          </w:tcPr>
          <w:p>
            <w:pPr>
              <w:spacing w:after="0"/>
              <w:jc w:val="left"/>
            </w:pPr>
            <w:r/>
            <w:r>
              <w:rPr>
                <w:rFonts w:ascii="Calibri" w:hAnsi="Calibri"/>
                <w:b/>
                <w:color w:val="FFFFFF"/>
                <w:sz w:val="24"/>
              </w:rPr>
              <w:t>Título</w:t>
            </w:r>
          </w:p>
        </w:tc>
        <w:tc>
          <w:tcPr>
            <w:tcW w:type="dxa" w:w="4244"/>
            <w:shd w:val="clear" w:color="auto" w:fill="143C64"/>
          </w:tcPr>
          <w:p>
            <w:pPr>
              <w:spacing w:after="0"/>
              <w:jc w:val="left"/>
            </w:pPr>
            <w:r/>
            <w:r>
              <w:rPr>
                <w:rFonts w:ascii="Calibri" w:hAnsi="Calibri"/>
                <w:b/>
                <w:color w:val="FFFFFF"/>
                <w:sz w:val="24"/>
              </w:rPr>
              <w:t>Texto de apoio</w:t>
            </w:r>
          </w:p>
        </w:tc>
      </w:tr>
      <w:tr>
        <w:trPr>
          <w:cantSplit/>
        </w:trPr>
        <w:tc>
          <w:tcPr>
            <w:tcW w:type="dxa" w:w="1267"/>
          </w:tcPr>
          <w:p>
            <w:pPr>
              <w:spacing w:after="0"/>
              <w:jc w:val="left"/>
            </w:pPr>
            <w:r/>
            <w:r>
              <w:rPr>
                <w:rFonts w:ascii="Calibri" w:hAnsi="Calibri"/>
                <w:b w:val="0"/>
                <w:color w:val="1A1A1A"/>
                <w:sz w:val="24"/>
              </w:rPr>
              <w:t>01</w:t>
            </w:r>
          </w:p>
        </w:tc>
        <w:tc>
          <w:tcPr>
            <w:tcW w:type="dxa" w:w="3562"/>
          </w:tcPr>
          <w:p>
            <w:pPr>
              <w:spacing w:after="0"/>
              <w:jc w:val="left"/>
            </w:pPr>
            <w:r/>
            <w:r>
              <w:rPr>
                <w:rFonts w:ascii="Calibri" w:hAnsi="Calibri"/>
                <w:b w:val="0"/>
                <w:color w:val="1A1A1A"/>
                <w:sz w:val="24"/>
              </w:rPr>
              <w:t>Antes de incorporar uma tecnologia em HOF, consulte.</w:t>
            </w:r>
          </w:p>
        </w:tc>
        <w:tc>
          <w:tcPr>
            <w:tcW w:type="dxa" w:w="4244"/>
          </w:tcPr>
          <w:p>
            <w:pPr>
              <w:spacing w:after="0"/>
              <w:jc w:val="left"/>
            </w:pPr>
            <w:r/>
            <w:r>
              <w:rPr>
                <w:rFonts w:ascii="Calibri" w:hAnsi="Calibri"/>
                <w:b w:val="0"/>
                <w:color w:val="1A1A1A"/>
                <w:sz w:val="24"/>
              </w:rPr>
              <w:t>Inovação responsável começa antes da compra, do uso e da divulgação.</w:t>
            </w:r>
          </w:p>
        </w:tc>
      </w:tr>
      <w:tr>
        <w:trPr>
          <w:cantSplit/>
        </w:trPr>
        <w:tc>
          <w:tcPr>
            <w:tcW w:type="dxa" w:w="1267"/>
            <w:shd w:val="clear" w:color="auto" w:fill="F2F5F8"/>
          </w:tcPr>
          <w:p>
            <w:pPr>
              <w:spacing w:after="0"/>
              <w:jc w:val="left"/>
            </w:pPr>
            <w:r/>
            <w:r>
              <w:rPr>
                <w:rFonts w:ascii="Calibri" w:hAnsi="Calibri"/>
                <w:b w:val="0"/>
                <w:color w:val="1A1A1A"/>
                <w:sz w:val="24"/>
              </w:rPr>
              <w:t>02</w:t>
            </w:r>
          </w:p>
        </w:tc>
        <w:tc>
          <w:tcPr>
            <w:tcW w:type="dxa" w:w="3562"/>
            <w:shd w:val="clear" w:color="auto" w:fill="F2F5F8"/>
          </w:tcPr>
          <w:p>
            <w:pPr>
              <w:spacing w:after="0"/>
              <w:jc w:val="left"/>
            </w:pPr>
            <w:r/>
            <w:r>
              <w:rPr>
                <w:rFonts w:ascii="Calibri" w:hAnsi="Calibri"/>
                <w:b w:val="0"/>
                <w:color w:val="1A1A1A"/>
                <w:sz w:val="24"/>
              </w:rPr>
              <w:t>Regularizado não é o mesmo que indicado para tudo.</w:t>
            </w:r>
          </w:p>
        </w:tc>
        <w:tc>
          <w:tcPr>
            <w:tcW w:type="dxa" w:w="4244"/>
            <w:shd w:val="clear" w:color="auto" w:fill="F2F5F8"/>
          </w:tcPr>
          <w:p>
            <w:pPr>
              <w:spacing w:after="0"/>
              <w:jc w:val="left"/>
            </w:pPr>
            <w:r/>
            <w:r>
              <w:rPr>
                <w:rFonts w:ascii="Calibri" w:hAnsi="Calibri"/>
                <w:b w:val="0"/>
                <w:color w:val="1A1A1A"/>
                <w:sz w:val="24"/>
              </w:rPr>
              <w:t>Verifique registro, finalidade aprovada, instruções de uso, alertas e escopo profissional.</w:t>
            </w:r>
          </w:p>
        </w:tc>
      </w:tr>
      <w:tr>
        <w:trPr>
          <w:cantSplit/>
        </w:trPr>
        <w:tc>
          <w:tcPr>
            <w:tcW w:type="dxa" w:w="1267"/>
          </w:tcPr>
          <w:p>
            <w:pPr>
              <w:spacing w:after="0"/>
              <w:jc w:val="left"/>
            </w:pPr>
            <w:r/>
            <w:r>
              <w:rPr>
                <w:rFonts w:ascii="Calibri" w:hAnsi="Calibri"/>
                <w:b w:val="0"/>
                <w:color w:val="1A1A1A"/>
                <w:sz w:val="24"/>
              </w:rPr>
              <w:t>03</w:t>
            </w:r>
          </w:p>
        </w:tc>
        <w:tc>
          <w:tcPr>
            <w:tcW w:type="dxa" w:w="3562"/>
          </w:tcPr>
          <w:p>
            <w:pPr>
              <w:spacing w:after="0"/>
              <w:jc w:val="left"/>
            </w:pPr>
            <w:r/>
            <w:r>
              <w:rPr>
                <w:rFonts w:ascii="Calibri" w:hAnsi="Calibri"/>
                <w:b w:val="0"/>
                <w:color w:val="1A1A1A"/>
                <w:sz w:val="24"/>
              </w:rPr>
              <w:t>Quatro perguntas mudam a decisão.</w:t>
            </w:r>
          </w:p>
        </w:tc>
        <w:tc>
          <w:tcPr>
            <w:tcW w:type="dxa" w:w="4244"/>
          </w:tcPr>
          <w:p>
            <w:pPr>
              <w:spacing w:after="0"/>
              <w:jc w:val="left"/>
            </w:pPr>
            <w:r/>
            <w:r>
              <w:rPr>
                <w:rFonts w:ascii="Calibri" w:hAnsi="Calibri"/>
                <w:b w:val="0"/>
                <w:color w:val="1A1A1A"/>
                <w:sz w:val="24"/>
              </w:rPr>
              <w:t>Posso? Faz sentido? Consigo operar? Consigo rastrear?</w:t>
            </w:r>
          </w:p>
        </w:tc>
      </w:tr>
      <w:tr>
        <w:trPr>
          <w:cantSplit/>
        </w:trPr>
        <w:tc>
          <w:tcPr>
            <w:tcW w:type="dxa" w:w="1267"/>
            <w:shd w:val="clear" w:color="auto" w:fill="F2F5F8"/>
          </w:tcPr>
          <w:p>
            <w:pPr>
              <w:spacing w:after="0"/>
              <w:jc w:val="left"/>
            </w:pPr>
            <w:r/>
            <w:r>
              <w:rPr>
                <w:rFonts w:ascii="Calibri" w:hAnsi="Calibri"/>
                <w:b w:val="0"/>
                <w:color w:val="1A1A1A"/>
                <w:sz w:val="24"/>
              </w:rPr>
              <w:t>04</w:t>
            </w:r>
          </w:p>
        </w:tc>
        <w:tc>
          <w:tcPr>
            <w:tcW w:type="dxa" w:w="3562"/>
            <w:shd w:val="clear" w:color="auto" w:fill="F2F5F8"/>
          </w:tcPr>
          <w:p>
            <w:pPr>
              <w:spacing w:after="0"/>
              <w:jc w:val="left"/>
            </w:pPr>
            <w:r/>
            <w:r>
              <w:rPr>
                <w:rFonts w:ascii="Calibri" w:hAnsi="Calibri"/>
                <w:b w:val="0"/>
                <w:color w:val="1A1A1A"/>
                <w:sz w:val="24"/>
              </w:rPr>
              <w:t>Posso?</w:t>
            </w:r>
          </w:p>
        </w:tc>
        <w:tc>
          <w:tcPr>
            <w:tcW w:type="dxa" w:w="4244"/>
            <w:shd w:val="clear" w:color="auto" w:fill="F2F5F8"/>
          </w:tcPr>
          <w:p>
            <w:pPr>
              <w:spacing w:after="0"/>
              <w:jc w:val="left"/>
            </w:pPr>
            <w:r/>
            <w:r>
              <w:rPr>
                <w:rFonts w:ascii="Calibri" w:hAnsi="Calibri"/>
                <w:b w:val="0"/>
                <w:color w:val="1A1A1A"/>
                <w:sz w:val="24"/>
              </w:rPr>
              <w:t>A tecnologia, o produto ou o software estão regularizados e compatíveis com a finalidade pretendida?</w:t>
            </w:r>
          </w:p>
        </w:tc>
      </w:tr>
      <w:tr>
        <w:trPr>
          <w:cantSplit/>
        </w:trPr>
        <w:tc>
          <w:tcPr>
            <w:tcW w:type="dxa" w:w="1267"/>
          </w:tcPr>
          <w:p>
            <w:pPr>
              <w:spacing w:after="0"/>
              <w:jc w:val="left"/>
            </w:pPr>
            <w:r/>
            <w:r>
              <w:rPr>
                <w:rFonts w:ascii="Calibri" w:hAnsi="Calibri"/>
                <w:b w:val="0"/>
                <w:color w:val="1A1A1A"/>
                <w:sz w:val="24"/>
              </w:rPr>
              <w:t>05</w:t>
            </w:r>
          </w:p>
        </w:tc>
        <w:tc>
          <w:tcPr>
            <w:tcW w:type="dxa" w:w="3562"/>
          </w:tcPr>
          <w:p>
            <w:pPr>
              <w:spacing w:after="0"/>
              <w:jc w:val="left"/>
            </w:pPr>
            <w:r/>
            <w:r>
              <w:rPr>
                <w:rFonts w:ascii="Calibri" w:hAnsi="Calibri"/>
                <w:b w:val="0"/>
                <w:color w:val="1A1A1A"/>
                <w:sz w:val="24"/>
              </w:rPr>
              <w:t>Faz sentido?</w:t>
            </w:r>
          </w:p>
        </w:tc>
        <w:tc>
          <w:tcPr>
            <w:tcW w:type="dxa" w:w="4244"/>
          </w:tcPr>
          <w:p>
            <w:pPr>
              <w:spacing w:after="0"/>
              <w:jc w:val="left"/>
            </w:pPr>
            <w:r/>
            <w:r>
              <w:rPr>
                <w:rFonts w:ascii="Calibri" w:hAnsi="Calibri"/>
                <w:b w:val="0"/>
                <w:color w:val="1A1A1A"/>
                <w:sz w:val="24"/>
              </w:rPr>
              <w:t>Há evidência, benefício provável, alternativa disponível e proporcionalidade entre risco e resultado esperado?</w:t>
            </w:r>
          </w:p>
        </w:tc>
      </w:tr>
      <w:tr>
        <w:trPr>
          <w:cantSplit/>
        </w:trPr>
        <w:tc>
          <w:tcPr>
            <w:tcW w:type="dxa" w:w="1267"/>
            <w:shd w:val="clear" w:color="auto" w:fill="F2F5F8"/>
          </w:tcPr>
          <w:p>
            <w:pPr>
              <w:spacing w:after="0"/>
              <w:jc w:val="left"/>
            </w:pPr>
            <w:r/>
            <w:r>
              <w:rPr>
                <w:rFonts w:ascii="Calibri" w:hAnsi="Calibri"/>
                <w:b w:val="0"/>
                <w:color w:val="1A1A1A"/>
                <w:sz w:val="24"/>
              </w:rPr>
              <w:t>06</w:t>
            </w:r>
          </w:p>
        </w:tc>
        <w:tc>
          <w:tcPr>
            <w:tcW w:type="dxa" w:w="3562"/>
            <w:shd w:val="clear" w:color="auto" w:fill="F2F5F8"/>
          </w:tcPr>
          <w:p>
            <w:pPr>
              <w:spacing w:after="0"/>
              <w:jc w:val="left"/>
            </w:pPr>
            <w:r/>
            <w:r>
              <w:rPr>
                <w:rFonts w:ascii="Calibri" w:hAnsi="Calibri"/>
                <w:b w:val="0"/>
                <w:color w:val="1A1A1A"/>
                <w:sz w:val="24"/>
              </w:rPr>
              <w:t>Consigo operar?</w:t>
            </w:r>
          </w:p>
        </w:tc>
        <w:tc>
          <w:tcPr>
            <w:tcW w:type="dxa" w:w="4244"/>
            <w:shd w:val="clear" w:color="auto" w:fill="F2F5F8"/>
          </w:tcPr>
          <w:p>
            <w:pPr>
              <w:spacing w:after="0"/>
              <w:jc w:val="left"/>
            </w:pPr>
            <w:r/>
            <w:r>
              <w:rPr>
                <w:rFonts w:ascii="Calibri" w:hAnsi="Calibri"/>
                <w:b w:val="0"/>
                <w:color w:val="1A1A1A"/>
                <w:sz w:val="24"/>
              </w:rPr>
              <w:t>Há capacitação, infraestrutura, manutenção, equipe treinada e plano para falhas ou intercorrências?</w:t>
            </w:r>
          </w:p>
        </w:tc>
      </w:tr>
      <w:tr>
        <w:trPr>
          <w:cantSplit/>
        </w:trPr>
        <w:tc>
          <w:tcPr>
            <w:tcW w:type="dxa" w:w="1267"/>
          </w:tcPr>
          <w:p>
            <w:pPr>
              <w:spacing w:after="0"/>
              <w:jc w:val="left"/>
            </w:pPr>
            <w:r/>
            <w:r>
              <w:rPr>
                <w:rFonts w:ascii="Calibri" w:hAnsi="Calibri"/>
                <w:b w:val="0"/>
                <w:color w:val="1A1A1A"/>
                <w:sz w:val="24"/>
              </w:rPr>
              <w:t>07</w:t>
            </w:r>
          </w:p>
        </w:tc>
        <w:tc>
          <w:tcPr>
            <w:tcW w:type="dxa" w:w="3562"/>
          </w:tcPr>
          <w:p>
            <w:pPr>
              <w:spacing w:after="0"/>
              <w:jc w:val="left"/>
            </w:pPr>
            <w:r/>
            <w:r>
              <w:rPr>
                <w:rFonts w:ascii="Calibri" w:hAnsi="Calibri"/>
                <w:b w:val="0"/>
                <w:color w:val="1A1A1A"/>
                <w:sz w:val="24"/>
              </w:rPr>
              <w:t>Consigo rastrear?</w:t>
            </w:r>
          </w:p>
        </w:tc>
        <w:tc>
          <w:tcPr>
            <w:tcW w:type="dxa" w:w="4244"/>
          </w:tcPr>
          <w:p>
            <w:pPr>
              <w:spacing w:after="0"/>
              <w:jc w:val="left"/>
            </w:pPr>
            <w:r/>
            <w:r>
              <w:rPr>
                <w:rFonts w:ascii="Calibri" w:hAnsi="Calibri"/>
                <w:b w:val="0"/>
                <w:color w:val="1A1A1A"/>
                <w:sz w:val="24"/>
              </w:rPr>
              <w:t>Há registro de lote, equipamento, parâmetros, imagem, consentimento, manutenção e acompanhamento?</w:t>
            </w:r>
          </w:p>
        </w:tc>
      </w:tr>
      <w:tr>
        <w:trPr>
          <w:cantSplit/>
        </w:trPr>
        <w:tc>
          <w:tcPr>
            <w:tcW w:type="dxa" w:w="1267"/>
            <w:shd w:val="clear" w:color="auto" w:fill="F2F5F8"/>
          </w:tcPr>
          <w:p>
            <w:pPr>
              <w:spacing w:after="0"/>
              <w:jc w:val="left"/>
            </w:pPr>
            <w:r/>
            <w:r>
              <w:rPr>
                <w:rFonts w:ascii="Calibri" w:hAnsi="Calibri"/>
                <w:b w:val="0"/>
                <w:color w:val="1A1A1A"/>
                <w:sz w:val="24"/>
              </w:rPr>
              <w:t>08</w:t>
            </w:r>
          </w:p>
        </w:tc>
        <w:tc>
          <w:tcPr>
            <w:tcW w:type="dxa" w:w="3562"/>
            <w:shd w:val="clear" w:color="auto" w:fill="F2F5F8"/>
          </w:tcPr>
          <w:p>
            <w:pPr>
              <w:spacing w:after="0"/>
              <w:jc w:val="left"/>
            </w:pPr>
            <w:r/>
            <w:r>
              <w:rPr>
                <w:rFonts w:ascii="Calibri" w:hAnsi="Calibri"/>
                <w:b w:val="0"/>
                <w:color w:val="1A1A1A"/>
                <w:sz w:val="24"/>
              </w:rPr>
              <w:t>Intercorrência não espera.</w:t>
            </w:r>
          </w:p>
        </w:tc>
        <w:tc>
          <w:tcPr>
            <w:tcW w:type="dxa" w:w="4244"/>
            <w:shd w:val="clear" w:color="auto" w:fill="F2F5F8"/>
          </w:tcPr>
          <w:p>
            <w:pPr>
              <w:spacing w:after="0"/>
              <w:jc w:val="left"/>
            </w:pPr>
            <w:r/>
            <w:r>
              <w:rPr>
                <w:rFonts w:ascii="Calibri" w:hAnsi="Calibri"/>
                <w:b w:val="0"/>
                <w:color w:val="1A1A1A"/>
                <w:sz w:val="24"/>
              </w:rPr>
              <w:t>Reconhecer cedo, escalar corretamente e registrar a evolução protege o paciente e qualifica a decisão.</w:t>
            </w:r>
          </w:p>
        </w:tc>
      </w:tr>
      <w:tr>
        <w:trPr>
          <w:cantSplit/>
        </w:trPr>
        <w:tc>
          <w:tcPr>
            <w:tcW w:type="dxa" w:w="1267"/>
          </w:tcPr>
          <w:p>
            <w:pPr>
              <w:spacing w:after="0"/>
              <w:jc w:val="left"/>
            </w:pPr>
            <w:r/>
            <w:r>
              <w:rPr>
                <w:rFonts w:ascii="Calibri" w:hAnsi="Calibri"/>
                <w:b w:val="0"/>
                <w:color w:val="1A1A1A"/>
                <w:sz w:val="24"/>
              </w:rPr>
              <w:t>09</w:t>
            </w:r>
          </w:p>
        </w:tc>
        <w:tc>
          <w:tcPr>
            <w:tcW w:type="dxa" w:w="3562"/>
          </w:tcPr>
          <w:p>
            <w:pPr>
              <w:spacing w:after="0"/>
              <w:jc w:val="left"/>
            </w:pPr>
            <w:r/>
            <w:r>
              <w:rPr>
                <w:rFonts w:ascii="Calibri" w:hAnsi="Calibri"/>
                <w:b w:val="0"/>
                <w:color w:val="1A1A1A"/>
                <w:sz w:val="24"/>
              </w:rPr>
              <w:t>Inteligência artificial e ferramentas digitais também precisam de limite.</w:t>
            </w:r>
          </w:p>
        </w:tc>
        <w:tc>
          <w:tcPr>
            <w:tcW w:type="dxa" w:w="4244"/>
          </w:tcPr>
          <w:p>
            <w:pPr>
              <w:spacing w:after="0"/>
              <w:jc w:val="left"/>
            </w:pPr>
            <w:r/>
            <w:r>
              <w:rPr>
                <w:rFonts w:ascii="Calibri" w:hAnsi="Calibri"/>
                <w:b w:val="0"/>
                <w:color w:val="1A1A1A"/>
                <w:sz w:val="24"/>
              </w:rPr>
              <w:t>Dado de saúde exige finalidade, segurança, governança e separação entre uso clínico e divulgação.</w:t>
            </w:r>
          </w:p>
        </w:tc>
      </w:tr>
      <w:tr>
        <w:trPr>
          <w:cantSplit/>
        </w:trPr>
        <w:tc>
          <w:tcPr>
            <w:tcW w:type="dxa" w:w="1267"/>
            <w:shd w:val="clear" w:color="auto" w:fill="F2F5F8"/>
          </w:tcPr>
          <w:p>
            <w:pPr>
              <w:spacing w:after="0"/>
              <w:jc w:val="left"/>
            </w:pPr>
            <w:r/>
            <w:r>
              <w:rPr>
                <w:rFonts w:ascii="Calibri" w:hAnsi="Calibri"/>
                <w:b w:val="0"/>
                <w:color w:val="1A1A1A"/>
                <w:sz w:val="24"/>
              </w:rPr>
              <w:t>10</w:t>
            </w:r>
          </w:p>
        </w:tc>
        <w:tc>
          <w:tcPr>
            <w:tcW w:type="dxa" w:w="3562"/>
            <w:shd w:val="clear" w:color="auto" w:fill="F2F5F8"/>
          </w:tcPr>
          <w:p>
            <w:pPr>
              <w:spacing w:after="0"/>
              <w:jc w:val="left"/>
            </w:pPr>
            <w:r/>
            <w:r>
              <w:rPr>
                <w:rFonts w:ascii="Calibri" w:hAnsi="Calibri"/>
                <w:b w:val="0"/>
                <w:color w:val="1A1A1A"/>
                <w:sz w:val="24"/>
              </w:rPr>
              <w:t>HOF Segura Digital</w:t>
            </w:r>
          </w:p>
        </w:tc>
        <w:tc>
          <w:tcPr>
            <w:tcW w:type="dxa" w:w="4244"/>
            <w:shd w:val="clear" w:color="auto" w:fill="F2F5F8"/>
          </w:tcPr>
          <w:p>
            <w:pPr>
              <w:spacing w:after="0"/>
              <w:jc w:val="left"/>
            </w:pPr>
            <w:r/>
            <w:r>
              <w:rPr>
                <w:rFonts w:ascii="Calibri" w:hAnsi="Calibri"/>
                <w:b w:val="0"/>
                <w:color w:val="1A1A1A"/>
                <w:sz w:val="24"/>
              </w:rPr>
              <w:t>Uma iniciativa da Câmara Técnica de Harmonização Orofacial do CRO-MG para reunir informação confiável, instrumentos práticos e inovação responsável.</w:t>
            </w:r>
          </w:p>
        </w:tc>
      </w:tr>
    </w:tbl>
    <w:p>
      <w:pPr>
        <w:keepNext/>
        <w:spacing w:before="240" w:after="80"/>
        <w:jc w:val="left"/>
      </w:pPr>
      <w:r>
        <w:rPr>
          <w:rFonts w:ascii="Calibri" w:hAnsi="Calibri"/>
          <w:b/>
          <w:color w:val="143C64"/>
          <w:sz w:val="26"/>
        </w:rPr>
        <w:t>2.1  Legenda sugerida</w:t>
      </w:r>
    </w:p>
    <w:p>
      <w:pPr>
        <w:spacing w:after="120"/>
        <w:jc w:val="both"/>
      </w:pPr>
      <w:r>
        <w:rPr>
          <w:rFonts w:ascii="Calibri" w:hAnsi="Calibri"/>
          <w:b w:val="0"/>
          <w:i w:val="0"/>
          <w:color w:val="1A1A1A"/>
          <w:sz w:val="24"/>
        </w:rPr>
        <w:t>A incorporação de novas tecnologias em Harmonização Orofacial exige mais do que entusiasmo. Exige fonte oficial, evidência, rastreabilidade, capacitação, documentação e segurança clínica. A Câmara Técnica de Harmonização Orofacial do CRO-MG trabalha para transformar conhecimento técnico em instrumentos práticos para uma prática mais segura, responsável e confiável.</w:t>
      </w:r>
    </w:p>
    <w:p>
      <w:pPr>
        <w:spacing w:after="120"/>
        <w:jc w:val="both"/>
      </w:pPr>
      <w:r>
        <w:rPr>
          <w:rFonts w:ascii="Calibri" w:hAnsi="Calibri"/>
          <w:b w:val="0"/>
          <w:i/>
          <w:color w:val="1A1A1A"/>
          <w:sz w:val="24"/>
        </w:rPr>
        <w:t>Encerramento obrigatório da legenda: conteúdo técnico-institucional. Não substitui avaliação individual, normas vigentes, decisão clínica, parecer jurídico ou autoridade sanitária competente.</w:t>
      </w:r>
    </w:p>
    <w:p>
      <w:r>
        <w:br w:type="page"/>
      </w:r>
    </w:p>
    <w:p>
      <w:pPr>
        <w:keepNext/>
        <w:spacing w:before="360" w:after="160"/>
        <w:jc w:val="left"/>
        <w:pBdr>
          <w:bottom w:val="single" w:sz="8" w:space="4" w:color="143C64"/>
        </w:pBdr>
      </w:pPr>
      <w:r>
        <w:rPr>
          <w:rFonts w:ascii="Calibri" w:hAnsi="Calibri"/>
          <w:b/>
          <w:color w:val="143C64"/>
          <w:sz w:val="30"/>
        </w:rPr>
        <w:t>3  Roteiro de vídeo institucional</w:t>
      </w:r>
    </w:p>
    <w:p>
      <w:pPr>
        <w:spacing w:after="120"/>
        <w:jc w:val="both"/>
      </w:pPr>
      <w:r>
        <w:rPr>
          <w:rFonts w:ascii="Calibri" w:hAnsi="Calibri"/>
          <w:b w:val="0"/>
          <w:i w:val="0"/>
          <w:color w:val="1A1A1A"/>
          <w:sz w:val="24"/>
        </w:rPr>
        <w:t>Formato previsto: vídeo vertical de quarenta e cinco a sessenta segundos. Estilo institucional e sóbrio, sem antes e depois e sem prescrição terapêutica.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79"/>
        <w:gridCol w:w="2573"/>
        <w:gridCol w:w="2397"/>
        <w:gridCol w:w="2924"/>
      </w:tblGrid>
      <w:tr>
        <w:trPr>
          <w:cantSplit/>
          <w:tblHeader/>
        </w:trPr>
        <w:tc>
          <w:tcPr>
            <w:tcW w:type="dxa" w:w="1179"/>
            <w:shd w:val="clear" w:color="auto" w:fill="143C64"/>
          </w:tcPr>
          <w:p>
            <w:pPr>
              <w:spacing w:after="0"/>
              <w:jc w:val="left"/>
            </w:pPr>
            <w:r/>
            <w:r>
              <w:rPr>
                <w:rFonts w:ascii="Calibri" w:hAnsi="Calibri"/>
                <w:b/>
                <w:color w:val="FFFFFF"/>
                <w:sz w:val="24"/>
              </w:rPr>
              <w:t>Tempo</w:t>
            </w:r>
          </w:p>
        </w:tc>
        <w:tc>
          <w:tcPr>
            <w:tcW w:type="dxa" w:w="2573"/>
            <w:shd w:val="clear" w:color="auto" w:fill="143C64"/>
          </w:tcPr>
          <w:p>
            <w:pPr>
              <w:spacing w:after="0"/>
              <w:jc w:val="left"/>
            </w:pPr>
            <w:r/>
            <w:r>
              <w:rPr>
                <w:rFonts w:ascii="Calibri" w:hAnsi="Calibri"/>
                <w:b/>
                <w:color w:val="FFFFFF"/>
                <w:sz w:val="24"/>
              </w:rPr>
              <w:t>Imagem sugerida</w:t>
            </w:r>
          </w:p>
        </w:tc>
        <w:tc>
          <w:tcPr>
            <w:tcW w:type="dxa" w:w="2397"/>
            <w:shd w:val="clear" w:color="auto" w:fill="143C64"/>
          </w:tcPr>
          <w:p>
            <w:pPr>
              <w:spacing w:after="0"/>
              <w:jc w:val="left"/>
            </w:pPr>
            <w:r/>
            <w:r>
              <w:rPr>
                <w:rFonts w:ascii="Calibri" w:hAnsi="Calibri"/>
                <w:b/>
                <w:color w:val="FFFFFF"/>
                <w:sz w:val="24"/>
              </w:rPr>
              <w:t>Texto na tela</w:t>
            </w:r>
          </w:p>
        </w:tc>
        <w:tc>
          <w:tcPr>
            <w:tcW w:type="dxa" w:w="2924"/>
            <w:shd w:val="clear" w:color="auto" w:fill="143C64"/>
          </w:tcPr>
          <w:p>
            <w:pPr>
              <w:spacing w:after="0"/>
              <w:jc w:val="left"/>
            </w:pPr>
            <w:r/>
            <w:r>
              <w:rPr>
                <w:rFonts w:ascii="Calibri" w:hAnsi="Calibri"/>
                <w:b/>
                <w:color w:val="FFFFFF"/>
                <w:sz w:val="24"/>
              </w:rPr>
              <w:t>Narração</w:t>
            </w:r>
          </w:p>
        </w:tc>
      </w:tr>
      <w:tr>
        <w:trPr>
          <w:cantSplit/>
        </w:trPr>
        <w:tc>
          <w:tcPr>
            <w:tcW w:type="dxa" w:w="1179"/>
          </w:tcPr>
          <w:p>
            <w:pPr>
              <w:spacing w:after="0"/>
              <w:jc w:val="left"/>
            </w:pPr>
            <w:r/>
            <w:r>
              <w:rPr>
                <w:rFonts w:ascii="Calibri" w:hAnsi="Calibri"/>
                <w:b/>
                <w:color w:val="1A1A1A"/>
                <w:sz w:val="24"/>
              </w:rPr>
              <w:t>0 a 4s</w:t>
            </w:r>
          </w:p>
        </w:tc>
        <w:tc>
          <w:tcPr>
            <w:tcW w:type="dxa" w:w="2573"/>
          </w:tcPr>
          <w:p>
            <w:pPr>
              <w:spacing w:after="0"/>
              <w:jc w:val="left"/>
            </w:pPr>
            <w:r/>
            <w:r>
              <w:rPr>
                <w:rFonts w:ascii="Calibri" w:hAnsi="Calibri"/>
                <w:b w:val="0"/>
                <w:color w:val="1A1A1A"/>
                <w:sz w:val="24"/>
              </w:rPr>
              <w:t>Abertura com textura institucional e assinatura do CRO-MG.</w:t>
            </w:r>
          </w:p>
        </w:tc>
        <w:tc>
          <w:tcPr>
            <w:tcW w:type="dxa" w:w="2397"/>
          </w:tcPr>
          <w:p>
            <w:pPr>
              <w:spacing w:after="0"/>
              <w:jc w:val="left"/>
            </w:pPr>
            <w:r/>
            <w:r>
              <w:rPr>
                <w:rFonts w:ascii="Calibri" w:hAnsi="Calibri"/>
                <w:b w:val="0"/>
                <w:color w:val="1A1A1A"/>
                <w:sz w:val="24"/>
              </w:rPr>
              <w:t>HOF Segura Digital</w:t>
            </w:r>
          </w:p>
        </w:tc>
        <w:tc>
          <w:tcPr>
            <w:tcW w:type="dxa" w:w="2924"/>
          </w:tcPr>
          <w:p>
            <w:pPr>
              <w:spacing w:after="0"/>
              <w:jc w:val="left"/>
            </w:pPr>
            <w:r/>
            <w:r>
              <w:rPr>
                <w:rFonts w:ascii="Calibri" w:hAnsi="Calibri"/>
                <w:b w:val="0"/>
                <w:color w:val="1A1A1A"/>
                <w:sz w:val="24"/>
              </w:rPr>
              <w:t>A Harmonização Orofacial evolui. A segurança precisa evoluir junto.</w:t>
            </w:r>
          </w:p>
        </w:tc>
      </w:tr>
      <w:tr>
        <w:trPr>
          <w:cantSplit/>
        </w:trPr>
        <w:tc>
          <w:tcPr>
            <w:tcW w:type="dxa" w:w="1179"/>
            <w:shd w:val="clear" w:color="auto" w:fill="F2F5F8"/>
          </w:tcPr>
          <w:p>
            <w:pPr>
              <w:spacing w:after="0"/>
              <w:jc w:val="left"/>
            </w:pPr>
            <w:r/>
            <w:r>
              <w:rPr>
                <w:rFonts w:ascii="Calibri" w:hAnsi="Calibri"/>
                <w:b/>
                <w:color w:val="1A1A1A"/>
                <w:sz w:val="24"/>
              </w:rPr>
              <w:t>5 a 12s</w:t>
            </w:r>
          </w:p>
        </w:tc>
        <w:tc>
          <w:tcPr>
            <w:tcW w:type="dxa" w:w="2573"/>
            <w:shd w:val="clear" w:color="auto" w:fill="F2F5F8"/>
          </w:tcPr>
          <w:p>
            <w:pPr>
              <w:spacing w:after="0"/>
              <w:jc w:val="left"/>
            </w:pPr>
            <w:r/>
            <w:r>
              <w:rPr>
                <w:rFonts w:ascii="Calibri" w:hAnsi="Calibri"/>
                <w:b w:val="0"/>
                <w:color w:val="1A1A1A"/>
                <w:sz w:val="24"/>
              </w:rPr>
              <w:t>Profissional organizando documentos, checklist e equipamento.</w:t>
            </w:r>
          </w:p>
        </w:tc>
        <w:tc>
          <w:tcPr>
            <w:tcW w:type="dxa" w:w="2397"/>
            <w:shd w:val="clear" w:color="auto" w:fill="F2F5F8"/>
          </w:tcPr>
          <w:p>
            <w:pPr>
              <w:spacing w:after="0"/>
              <w:jc w:val="left"/>
            </w:pPr>
            <w:r/>
            <w:r>
              <w:rPr>
                <w:rFonts w:ascii="Calibri" w:hAnsi="Calibri"/>
                <w:b w:val="0"/>
                <w:color w:val="1A1A1A"/>
                <w:sz w:val="24"/>
              </w:rPr>
              <w:t>Antes de incorporar, consulte.</w:t>
            </w:r>
          </w:p>
        </w:tc>
        <w:tc>
          <w:tcPr>
            <w:tcW w:type="dxa" w:w="2924"/>
            <w:shd w:val="clear" w:color="auto" w:fill="F2F5F8"/>
          </w:tcPr>
          <w:p>
            <w:pPr>
              <w:spacing w:after="0"/>
              <w:jc w:val="left"/>
            </w:pPr>
            <w:r/>
            <w:r>
              <w:rPr>
                <w:rFonts w:ascii="Calibri" w:hAnsi="Calibri"/>
                <w:b w:val="0"/>
                <w:color w:val="1A1A1A"/>
                <w:sz w:val="24"/>
              </w:rPr>
              <w:t>Toda tecnologia deve passar por perguntas simples e decisivas.</w:t>
            </w:r>
          </w:p>
        </w:tc>
      </w:tr>
      <w:tr>
        <w:trPr>
          <w:cantSplit/>
        </w:trPr>
        <w:tc>
          <w:tcPr>
            <w:tcW w:type="dxa" w:w="1179"/>
          </w:tcPr>
          <w:p>
            <w:pPr>
              <w:spacing w:after="0"/>
              <w:jc w:val="left"/>
            </w:pPr>
            <w:r/>
            <w:r>
              <w:rPr>
                <w:rFonts w:ascii="Calibri" w:hAnsi="Calibri"/>
                <w:b/>
                <w:color w:val="1A1A1A"/>
                <w:sz w:val="24"/>
              </w:rPr>
              <w:t>13 a 22s</w:t>
            </w:r>
          </w:p>
        </w:tc>
        <w:tc>
          <w:tcPr>
            <w:tcW w:type="dxa" w:w="2573"/>
          </w:tcPr>
          <w:p>
            <w:pPr>
              <w:spacing w:after="0"/>
              <w:jc w:val="left"/>
            </w:pPr>
            <w:r/>
            <w:r>
              <w:rPr>
                <w:rFonts w:ascii="Calibri" w:hAnsi="Calibri"/>
                <w:b w:val="0"/>
                <w:color w:val="1A1A1A"/>
                <w:sz w:val="24"/>
              </w:rPr>
              <w:t>Cards animados com as quatro perguntas.</w:t>
            </w:r>
          </w:p>
        </w:tc>
        <w:tc>
          <w:tcPr>
            <w:tcW w:type="dxa" w:w="2397"/>
          </w:tcPr>
          <w:p>
            <w:pPr>
              <w:spacing w:after="0"/>
              <w:jc w:val="left"/>
            </w:pPr>
            <w:r/>
            <w:r>
              <w:rPr>
                <w:rFonts w:ascii="Calibri" w:hAnsi="Calibri"/>
                <w:b w:val="0"/>
                <w:color w:val="1A1A1A"/>
                <w:sz w:val="24"/>
              </w:rPr>
              <w:t>Quatro perguntas, uma decisão mais confiável.</w:t>
            </w:r>
          </w:p>
        </w:tc>
        <w:tc>
          <w:tcPr>
            <w:tcW w:type="dxa" w:w="2924"/>
          </w:tcPr>
          <w:p>
            <w:pPr>
              <w:spacing w:after="0"/>
              <w:jc w:val="left"/>
            </w:pPr>
            <w:r/>
            <w:r>
              <w:rPr>
                <w:rFonts w:ascii="Calibri" w:hAnsi="Calibri"/>
                <w:b w:val="0"/>
                <w:color w:val="1A1A1A"/>
                <w:sz w:val="24"/>
              </w:rPr>
              <w:t>Regularização, evidência, capacitação e rastreabilidade precisam conversar.</w:t>
            </w:r>
          </w:p>
        </w:tc>
      </w:tr>
      <w:tr>
        <w:trPr>
          <w:cantSplit/>
        </w:trPr>
        <w:tc>
          <w:tcPr>
            <w:tcW w:type="dxa" w:w="1179"/>
            <w:shd w:val="clear" w:color="auto" w:fill="F2F5F8"/>
          </w:tcPr>
          <w:p>
            <w:pPr>
              <w:spacing w:after="0"/>
              <w:jc w:val="left"/>
            </w:pPr>
            <w:r/>
            <w:r>
              <w:rPr>
                <w:rFonts w:ascii="Calibri" w:hAnsi="Calibri"/>
                <w:b/>
                <w:color w:val="1A1A1A"/>
                <w:sz w:val="24"/>
              </w:rPr>
              <w:t>23 a 34s</w:t>
            </w:r>
          </w:p>
        </w:tc>
        <w:tc>
          <w:tcPr>
            <w:tcW w:type="dxa" w:w="2573"/>
            <w:shd w:val="clear" w:color="auto" w:fill="F2F5F8"/>
          </w:tcPr>
          <w:p>
            <w:pPr>
              <w:spacing w:after="0"/>
              <w:jc w:val="left"/>
            </w:pPr>
            <w:r/>
            <w:r>
              <w:rPr>
                <w:rFonts w:ascii="Calibri" w:hAnsi="Calibri"/>
                <w:b w:val="0"/>
                <w:color w:val="1A1A1A"/>
                <w:sz w:val="24"/>
              </w:rPr>
              <w:t>Imagem abstrata de fluxo clínico, prontuário, manutenção e equipe.</w:t>
            </w:r>
          </w:p>
        </w:tc>
        <w:tc>
          <w:tcPr>
            <w:tcW w:type="dxa" w:w="2397"/>
            <w:shd w:val="clear" w:color="auto" w:fill="F2F5F8"/>
          </w:tcPr>
          <w:p>
            <w:pPr>
              <w:spacing w:after="0"/>
              <w:jc w:val="left"/>
            </w:pPr>
            <w:r/>
            <w:r>
              <w:rPr>
                <w:rFonts w:ascii="Calibri" w:hAnsi="Calibri"/>
                <w:b w:val="0"/>
                <w:color w:val="1A1A1A"/>
                <w:sz w:val="24"/>
              </w:rPr>
              <w:t>Segurança é processo.</w:t>
            </w:r>
          </w:p>
        </w:tc>
        <w:tc>
          <w:tcPr>
            <w:tcW w:type="dxa" w:w="2924"/>
            <w:shd w:val="clear" w:color="auto" w:fill="F2F5F8"/>
          </w:tcPr>
          <w:p>
            <w:pPr>
              <w:spacing w:after="0"/>
              <w:jc w:val="left"/>
            </w:pPr>
            <w:r/>
            <w:r>
              <w:rPr>
                <w:rFonts w:ascii="Calibri" w:hAnsi="Calibri"/>
                <w:b w:val="0"/>
                <w:color w:val="1A1A1A"/>
                <w:sz w:val="24"/>
              </w:rPr>
              <w:t>Não é só ter o recurso. É documentar, treinar, registrar, acompanhar e revisar.</w:t>
            </w:r>
          </w:p>
        </w:tc>
      </w:tr>
      <w:tr>
        <w:trPr>
          <w:cantSplit/>
        </w:trPr>
        <w:tc>
          <w:tcPr>
            <w:tcW w:type="dxa" w:w="1179"/>
          </w:tcPr>
          <w:p>
            <w:pPr>
              <w:spacing w:after="0"/>
              <w:jc w:val="left"/>
            </w:pPr>
            <w:r/>
            <w:r>
              <w:rPr>
                <w:rFonts w:ascii="Calibri" w:hAnsi="Calibri"/>
                <w:b/>
                <w:color w:val="1A1A1A"/>
                <w:sz w:val="24"/>
              </w:rPr>
              <w:t>35 a 46s</w:t>
            </w:r>
          </w:p>
        </w:tc>
        <w:tc>
          <w:tcPr>
            <w:tcW w:type="dxa" w:w="2573"/>
          </w:tcPr>
          <w:p>
            <w:pPr>
              <w:spacing w:after="0"/>
              <w:jc w:val="left"/>
            </w:pPr>
            <w:r/>
            <w:r>
              <w:rPr>
                <w:rFonts w:ascii="Calibri" w:hAnsi="Calibri"/>
                <w:b w:val="0"/>
                <w:color w:val="1A1A1A"/>
                <w:sz w:val="24"/>
              </w:rPr>
              <w:t>Interface simulada do hub, com biblioteca, tecnologias, fluxogramas e POPs.</w:t>
            </w:r>
          </w:p>
        </w:tc>
        <w:tc>
          <w:tcPr>
            <w:tcW w:type="dxa" w:w="2397"/>
          </w:tcPr>
          <w:p>
            <w:pPr>
              <w:spacing w:after="0"/>
              <w:jc w:val="left"/>
            </w:pPr>
            <w:r/>
            <w:r>
              <w:rPr>
                <w:rFonts w:ascii="Calibri" w:hAnsi="Calibri"/>
                <w:b w:val="0"/>
                <w:color w:val="1A1A1A"/>
                <w:sz w:val="24"/>
              </w:rPr>
              <w:t>HOF Segura Digital</w:t>
            </w:r>
          </w:p>
        </w:tc>
        <w:tc>
          <w:tcPr>
            <w:tcW w:type="dxa" w:w="2924"/>
          </w:tcPr>
          <w:p>
            <w:pPr>
              <w:spacing w:after="0"/>
              <w:jc w:val="left"/>
            </w:pPr>
            <w:r/>
            <w:r>
              <w:rPr>
                <w:rFonts w:ascii="Calibri" w:hAnsi="Calibri"/>
                <w:b w:val="0"/>
                <w:color w:val="1A1A1A"/>
                <w:sz w:val="24"/>
              </w:rPr>
              <w:t>Uma iniciativa da Câmara Técnica de Harmonização Orofacial do CRO-MG.</w:t>
            </w:r>
          </w:p>
        </w:tc>
      </w:tr>
      <w:tr>
        <w:trPr>
          <w:cantSplit/>
        </w:trPr>
        <w:tc>
          <w:tcPr>
            <w:tcW w:type="dxa" w:w="1179"/>
            <w:shd w:val="clear" w:color="auto" w:fill="F2F5F8"/>
          </w:tcPr>
          <w:p>
            <w:pPr>
              <w:spacing w:after="0"/>
              <w:jc w:val="left"/>
            </w:pPr>
            <w:r/>
            <w:r>
              <w:rPr>
                <w:rFonts w:ascii="Calibri" w:hAnsi="Calibri"/>
                <w:b/>
                <w:color w:val="1A1A1A"/>
                <w:sz w:val="24"/>
              </w:rPr>
              <w:t>47 a 60s</w:t>
            </w:r>
          </w:p>
        </w:tc>
        <w:tc>
          <w:tcPr>
            <w:tcW w:type="dxa" w:w="2573"/>
            <w:shd w:val="clear" w:color="auto" w:fill="F2F5F8"/>
          </w:tcPr>
          <w:p>
            <w:pPr>
              <w:spacing w:after="0"/>
              <w:jc w:val="left"/>
            </w:pPr>
            <w:r/>
            <w:r>
              <w:rPr>
                <w:rFonts w:ascii="Calibri" w:hAnsi="Calibri"/>
                <w:b w:val="0"/>
                <w:color w:val="1A1A1A"/>
                <w:sz w:val="24"/>
              </w:rPr>
              <w:t>Encerramento com chamada.</w:t>
            </w:r>
          </w:p>
        </w:tc>
        <w:tc>
          <w:tcPr>
            <w:tcW w:type="dxa" w:w="2397"/>
            <w:shd w:val="clear" w:color="auto" w:fill="F2F5F8"/>
          </w:tcPr>
          <w:p>
            <w:pPr>
              <w:spacing w:after="0"/>
              <w:jc w:val="left"/>
            </w:pPr>
            <w:r/>
            <w:r>
              <w:rPr>
                <w:rFonts w:ascii="Calibri" w:hAnsi="Calibri"/>
                <w:b w:val="0"/>
                <w:color w:val="1A1A1A"/>
                <w:sz w:val="24"/>
              </w:rPr>
              <w:t>Informação confiável. Inovação responsável. Cuidado mais seguro.</w:t>
            </w:r>
          </w:p>
        </w:tc>
        <w:tc>
          <w:tcPr>
            <w:tcW w:type="dxa" w:w="2924"/>
            <w:shd w:val="clear" w:color="auto" w:fill="F2F5F8"/>
          </w:tcPr>
          <w:p>
            <w:pPr>
              <w:spacing w:after="0"/>
              <w:jc w:val="left"/>
            </w:pPr>
            <w:r/>
            <w:r>
              <w:rPr>
                <w:rFonts w:ascii="Calibri" w:hAnsi="Calibri"/>
                <w:b w:val="0"/>
                <w:color w:val="1A1A1A"/>
                <w:sz w:val="24"/>
              </w:rPr>
              <w:t>Em breve, conteúdos técnicos, checklists e instrumentos para apoiar a prática.</w:t>
            </w:r>
          </w:p>
        </w:tc>
      </w:tr>
    </w:tbl>
    <w:p>
      <w:pPr>
        <w:keepNext/>
        <w:spacing w:before="240" w:after="80"/>
        <w:jc w:val="left"/>
      </w:pPr>
      <w:r>
        <w:rPr>
          <w:rFonts w:ascii="Calibri" w:hAnsi="Calibri"/>
          <w:b/>
          <w:color w:val="143C64"/>
          <w:sz w:val="26"/>
        </w:rPr>
        <w:t>3.1  Divergências do rascunho de vídeo anexo</w:t>
      </w:r>
    </w:p>
    <w:p>
      <w:pPr>
        <w:spacing w:after="120"/>
        <w:jc w:val="both"/>
      </w:pPr>
      <w:r>
        <w:rPr>
          <w:rFonts w:ascii="Calibri" w:hAnsi="Calibri"/>
          <w:b w:val="0"/>
          <w:i w:val="0"/>
          <w:color w:val="1A1A1A"/>
          <w:sz w:val="24"/>
        </w:rPr>
        <w:t>O arquivo de rascunho que acompanha este pacote apresenta duas divergências em relação ao roteiro. Elas estão registradas para correção antes de qualquer publicação, e não invalidam o rascunho como prova de conceito.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937"/>
        <w:gridCol w:w="2433"/>
        <w:gridCol w:w="2106"/>
        <w:gridCol w:w="2596"/>
      </w:tblGrid>
      <w:tr>
        <w:trPr>
          <w:cantSplit/>
          <w:tblHeader/>
        </w:trPr>
        <w:tc>
          <w:tcPr>
            <w:tcW w:type="dxa" w:w="1937"/>
            <w:shd w:val="clear" w:color="auto" w:fill="143C64"/>
          </w:tcPr>
          <w:p>
            <w:pPr>
              <w:spacing w:after="0"/>
              <w:jc w:val="left"/>
            </w:pPr>
            <w:r/>
            <w:r>
              <w:rPr>
                <w:rFonts w:ascii="Calibri" w:hAnsi="Calibri"/>
                <w:b/>
                <w:color w:val="FFFFFF"/>
                <w:sz w:val="24"/>
              </w:rPr>
              <w:t>Item</w:t>
            </w:r>
          </w:p>
        </w:tc>
        <w:tc>
          <w:tcPr>
            <w:tcW w:type="dxa" w:w="2433"/>
            <w:shd w:val="clear" w:color="auto" w:fill="143C64"/>
          </w:tcPr>
          <w:p>
            <w:pPr>
              <w:spacing w:after="0"/>
              <w:jc w:val="left"/>
            </w:pPr>
            <w:r/>
            <w:r>
              <w:rPr>
                <w:rFonts w:ascii="Calibri" w:hAnsi="Calibri"/>
                <w:b/>
                <w:color w:val="FFFFFF"/>
                <w:sz w:val="24"/>
              </w:rPr>
              <w:t>Previsto no roteiro</w:t>
            </w:r>
          </w:p>
        </w:tc>
        <w:tc>
          <w:tcPr>
            <w:tcW w:type="dxa" w:w="2106"/>
            <w:shd w:val="clear" w:color="auto" w:fill="143C64"/>
          </w:tcPr>
          <w:p>
            <w:pPr>
              <w:spacing w:after="0"/>
              <w:jc w:val="left"/>
            </w:pPr>
            <w:r/>
            <w:r>
              <w:rPr>
                <w:rFonts w:ascii="Calibri" w:hAnsi="Calibri"/>
                <w:b/>
                <w:color w:val="FFFFFF"/>
                <w:sz w:val="24"/>
              </w:rPr>
              <w:t>Situação no rascunho</w:t>
            </w:r>
          </w:p>
        </w:tc>
        <w:tc>
          <w:tcPr>
            <w:tcW w:type="dxa" w:w="2596"/>
            <w:shd w:val="clear" w:color="auto" w:fill="143C64"/>
          </w:tcPr>
          <w:p>
            <w:pPr>
              <w:spacing w:after="0"/>
              <w:jc w:val="left"/>
            </w:pPr>
            <w:r/>
            <w:r>
              <w:rPr>
                <w:rFonts w:ascii="Calibri" w:hAnsi="Calibri"/>
                <w:b/>
                <w:color w:val="FFFFFF"/>
                <w:sz w:val="24"/>
              </w:rPr>
              <w:t>Encaminhamento</w:t>
            </w:r>
          </w:p>
        </w:tc>
      </w:tr>
      <w:tr>
        <w:trPr>
          <w:cantSplit/>
        </w:trPr>
        <w:tc>
          <w:tcPr>
            <w:tcW w:type="dxa" w:w="1937"/>
          </w:tcPr>
          <w:p>
            <w:pPr>
              <w:spacing w:after="0"/>
              <w:jc w:val="left"/>
            </w:pPr>
            <w:r/>
            <w:r>
              <w:rPr>
                <w:rFonts w:ascii="Calibri" w:hAnsi="Calibri"/>
                <w:b w:val="0"/>
                <w:color w:val="1A1A1A"/>
                <w:sz w:val="24"/>
              </w:rPr>
              <w:t>Proporção</w:t>
            </w:r>
          </w:p>
        </w:tc>
        <w:tc>
          <w:tcPr>
            <w:tcW w:type="dxa" w:w="2433"/>
          </w:tcPr>
          <w:p>
            <w:pPr>
              <w:spacing w:after="0"/>
              <w:jc w:val="left"/>
            </w:pPr>
            <w:r/>
            <w:r>
              <w:rPr>
                <w:rFonts w:ascii="Calibri" w:hAnsi="Calibri"/>
                <w:b w:val="0"/>
                <w:color w:val="1A1A1A"/>
                <w:sz w:val="24"/>
              </w:rPr>
              <w:t>Vídeo vertical.</w:t>
            </w:r>
          </w:p>
        </w:tc>
        <w:tc>
          <w:tcPr>
            <w:tcW w:type="dxa" w:w="2106"/>
          </w:tcPr>
          <w:p>
            <w:pPr>
              <w:spacing w:after="0"/>
              <w:jc w:val="left"/>
            </w:pPr>
            <w:r/>
            <w:r>
              <w:rPr>
                <w:rFonts w:ascii="Calibri" w:hAnsi="Calibri"/>
                <w:b w:val="0"/>
                <w:color w:val="1A1A1A"/>
                <w:sz w:val="24"/>
              </w:rPr>
              <w:t>Quadrado, 1080 por 1080 pixels.</w:t>
            </w:r>
          </w:p>
        </w:tc>
        <w:tc>
          <w:tcPr>
            <w:tcW w:type="dxa" w:w="2596"/>
          </w:tcPr>
          <w:p>
            <w:pPr>
              <w:spacing w:after="0"/>
              <w:jc w:val="left"/>
            </w:pPr>
            <w:r/>
            <w:r>
              <w:rPr>
                <w:rFonts w:ascii="Calibri" w:hAnsi="Calibri"/>
                <w:b w:val="0"/>
                <w:color w:val="1A1A1A"/>
                <w:sz w:val="24"/>
              </w:rPr>
              <w:t>Reproduzir em 1080 por 1920 para o formato vertical.</w:t>
            </w:r>
          </w:p>
        </w:tc>
      </w:tr>
      <w:tr>
        <w:trPr>
          <w:cantSplit/>
        </w:trPr>
        <w:tc>
          <w:tcPr>
            <w:tcW w:type="dxa" w:w="1937"/>
            <w:shd w:val="clear" w:color="auto" w:fill="F2F5F8"/>
          </w:tcPr>
          <w:p>
            <w:pPr>
              <w:spacing w:after="0"/>
              <w:jc w:val="left"/>
            </w:pPr>
            <w:r/>
            <w:r>
              <w:rPr>
                <w:rFonts w:ascii="Calibri" w:hAnsi="Calibri"/>
                <w:b w:val="0"/>
                <w:color w:val="1A1A1A"/>
                <w:sz w:val="24"/>
              </w:rPr>
              <w:t>Duração</w:t>
            </w:r>
          </w:p>
        </w:tc>
        <w:tc>
          <w:tcPr>
            <w:tcW w:type="dxa" w:w="2433"/>
            <w:shd w:val="clear" w:color="auto" w:fill="F2F5F8"/>
          </w:tcPr>
          <w:p>
            <w:pPr>
              <w:spacing w:after="0"/>
              <w:jc w:val="left"/>
            </w:pPr>
            <w:r/>
            <w:r>
              <w:rPr>
                <w:rFonts w:ascii="Calibri" w:hAnsi="Calibri"/>
                <w:b w:val="0"/>
                <w:color w:val="1A1A1A"/>
                <w:sz w:val="24"/>
              </w:rPr>
              <w:t>Quarenta e cinco a sessenta segundos.</w:t>
            </w:r>
          </w:p>
        </w:tc>
        <w:tc>
          <w:tcPr>
            <w:tcW w:type="dxa" w:w="2106"/>
            <w:shd w:val="clear" w:color="auto" w:fill="F2F5F8"/>
          </w:tcPr>
          <w:p>
            <w:pPr>
              <w:spacing w:after="0"/>
              <w:jc w:val="left"/>
            </w:pPr>
            <w:r/>
            <w:r>
              <w:rPr>
                <w:rFonts w:ascii="Calibri" w:hAnsi="Calibri"/>
                <w:b w:val="0"/>
                <w:color w:val="1A1A1A"/>
                <w:sz w:val="24"/>
              </w:rPr>
              <w:t>Trinta e três segundos.</w:t>
            </w:r>
          </w:p>
        </w:tc>
        <w:tc>
          <w:tcPr>
            <w:tcW w:type="dxa" w:w="2596"/>
            <w:shd w:val="clear" w:color="auto" w:fill="F2F5F8"/>
          </w:tcPr>
          <w:p>
            <w:pPr>
              <w:spacing w:after="0"/>
              <w:jc w:val="left"/>
            </w:pPr>
            <w:r/>
            <w:r>
              <w:rPr>
                <w:rFonts w:ascii="Calibri" w:hAnsi="Calibri"/>
                <w:b w:val="0"/>
                <w:color w:val="1A1A1A"/>
                <w:sz w:val="24"/>
              </w:rPr>
              <w:t>Ajustar o tempo de leitura de cada bloco, sobretudo o de 23 a 34 segundos.</w:t>
            </w:r>
          </w:p>
        </w:tc>
      </w:tr>
      <w:tr>
        <w:trPr>
          <w:cantSplit/>
        </w:trPr>
        <w:tc>
          <w:tcPr>
            <w:tcW w:type="dxa" w:w="1937"/>
          </w:tcPr>
          <w:p>
            <w:pPr>
              <w:spacing w:after="0"/>
              <w:jc w:val="left"/>
            </w:pPr>
            <w:r/>
            <w:r>
              <w:rPr>
                <w:rFonts w:ascii="Calibri" w:hAnsi="Calibri"/>
                <w:b w:val="0"/>
                <w:color w:val="1A1A1A"/>
                <w:sz w:val="24"/>
              </w:rPr>
              <w:t>Áudio</w:t>
            </w:r>
          </w:p>
        </w:tc>
        <w:tc>
          <w:tcPr>
            <w:tcW w:type="dxa" w:w="2433"/>
          </w:tcPr>
          <w:p>
            <w:pPr>
              <w:spacing w:after="0"/>
              <w:jc w:val="left"/>
            </w:pPr>
            <w:r/>
            <w:r>
              <w:rPr>
                <w:rFonts w:ascii="Calibri" w:hAnsi="Calibri"/>
                <w:b w:val="0"/>
                <w:color w:val="1A1A1A"/>
                <w:sz w:val="24"/>
              </w:rPr>
              <w:t>Narração descrita bloco a bloco.</w:t>
            </w:r>
          </w:p>
        </w:tc>
        <w:tc>
          <w:tcPr>
            <w:tcW w:type="dxa" w:w="2106"/>
          </w:tcPr>
          <w:p>
            <w:pPr>
              <w:spacing w:after="0"/>
              <w:jc w:val="left"/>
            </w:pPr>
            <w:r/>
            <w:r>
              <w:rPr>
                <w:rFonts w:ascii="Calibri" w:hAnsi="Calibri"/>
                <w:b w:val="0"/>
                <w:color w:val="1A1A1A"/>
                <w:sz w:val="24"/>
              </w:rPr>
              <w:t>Sem faixa de áudio.</w:t>
            </w:r>
          </w:p>
        </w:tc>
        <w:tc>
          <w:tcPr>
            <w:tcW w:type="dxa" w:w="2596"/>
          </w:tcPr>
          <w:p>
            <w:pPr>
              <w:spacing w:after="0"/>
              <w:jc w:val="left"/>
            </w:pPr>
            <w:r/>
            <w:r>
              <w:rPr>
                <w:rFonts w:ascii="Calibri" w:hAnsi="Calibri"/>
                <w:b w:val="0"/>
                <w:color w:val="1A1A1A"/>
                <w:sz w:val="24"/>
              </w:rPr>
              <w:t>Definir se haverá narração, legenda estática ou apenas texto na tela.</w:t>
            </w:r>
          </w:p>
        </w:tc>
      </w:tr>
      <w:tr>
        <w:trPr>
          <w:cantSplit/>
        </w:trPr>
        <w:tc>
          <w:tcPr>
            <w:tcW w:type="dxa" w:w="1937"/>
            <w:shd w:val="clear" w:color="auto" w:fill="F2F5F8"/>
          </w:tcPr>
          <w:p>
            <w:pPr>
              <w:spacing w:after="0"/>
              <w:jc w:val="left"/>
            </w:pPr>
            <w:r/>
            <w:r>
              <w:rPr>
                <w:rFonts w:ascii="Calibri" w:hAnsi="Calibri"/>
                <w:b w:val="0"/>
                <w:color w:val="1A1A1A"/>
                <w:sz w:val="24"/>
              </w:rPr>
              <w:t>Assinatura visual</w:t>
            </w:r>
          </w:p>
        </w:tc>
        <w:tc>
          <w:tcPr>
            <w:tcW w:type="dxa" w:w="2433"/>
            <w:shd w:val="clear" w:color="auto" w:fill="F2F5F8"/>
          </w:tcPr>
          <w:p>
            <w:pPr>
              <w:spacing w:after="0"/>
              <w:jc w:val="left"/>
            </w:pPr>
            <w:r/>
            <w:r>
              <w:rPr>
                <w:rFonts w:ascii="Calibri" w:hAnsi="Calibri"/>
                <w:b w:val="0"/>
                <w:color w:val="1A1A1A"/>
                <w:sz w:val="24"/>
              </w:rPr>
              <w:t>Identidade institucional do CRO-MG.</w:t>
            </w:r>
          </w:p>
        </w:tc>
        <w:tc>
          <w:tcPr>
            <w:tcW w:type="dxa" w:w="2106"/>
            <w:shd w:val="clear" w:color="auto" w:fill="F2F5F8"/>
          </w:tcPr>
          <w:p>
            <w:pPr>
              <w:spacing w:after="0"/>
              <w:jc w:val="left"/>
            </w:pPr>
            <w:r/>
            <w:r>
              <w:rPr>
                <w:rFonts w:ascii="Calibri" w:hAnsi="Calibri"/>
                <w:b w:val="0"/>
                <w:color w:val="1A1A1A"/>
                <w:sz w:val="24"/>
              </w:rPr>
              <w:t>Assinatura tipográfica provisória.</w:t>
            </w:r>
          </w:p>
        </w:tc>
        <w:tc>
          <w:tcPr>
            <w:tcW w:type="dxa" w:w="2596"/>
            <w:shd w:val="clear" w:color="auto" w:fill="F2F5F8"/>
          </w:tcPr>
          <w:p>
            <w:pPr>
              <w:spacing w:after="0"/>
              <w:jc w:val="left"/>
            </w:pPr>
            <w:r/>
            <w:r>
              <w:rPr>
                <w:rFonts w:ascii="Calibri" w:hAnsi="Calibri"/>
                <w:b w:val="0"/>
                <w:color w:val="1A1A1A"/>
                <w:sz w:val="24"/>
              </w:rPr>
              <w:t>Aplicação da identidade oficial pela área de Comunicação.</w:t>
            </w:r>
          </w:p>
        </w:tc>
      </w:tr>
    </w:tbl>
    <w:p>
      <w:pPr>
        <w:keepNext/>
        <w:spacing w:before="360" w:after="160"/>
        <w:jc w:val="left"/>
        <w:pBdr>
          <w:bottom w:val="single" w:sz="8" w:space="4" w:color="143C64"/>
        </w:pBdr>
      </w:pPr>
      <w:r>
        <w:rPr>
          <w:rFonts w:ascii="Calibri" w:hAnsi="Calibri"/>
          <w:b/>
          <w:color w:val="143C64"/>
          <w:sz w:val="30"/>
        </w:rPr>
        <w:t>4  Regras de conformidade para publicação</w:t>
      </w:r>
    </w:p>
    <w:p>
      <w:pPr>
        <w:pStyle w:val="ListBullet"/>
        <w:spacing w:after="60"/>
        <w:ind w:left="397"/>
        <w:jc w:val="both"/>
      </w:pPr>
      <w:r>
        <w:rPr>
          <w:rFonts w:ascii="Calibri" w:hAnsi="Calibri"/>
          <w:color w:val="1A1A1A"/>
          <w:sz w:val="24"/>
        </w:rPr>
        <w:t>Não usar antes e depois nem qualquer forma de promessa de resultado.</w:t>
      </w:r>
    </w:p>
    <w:p>
      <w:pPr>
        <w:pStyle w:val="ListBullet"/>
        <w:spacing w:after="60"/>
        <w:ind w:left="397"/>
        <w:jc w:val="both"/>
      </w:pPr>
      <w:r>
        <w:rPr>
          <w:rFonts w:ascii="Calibri" w:hAnsi="Calibri"/>
          <w:color w:val="1A1A1A"/>
          <w:sz w:val="24"/>
        </w:rPr>
        <w:t>Não citar marca, fabricante, curso ou equipamento específico.</w:t>
      </w:r>
    </w:p>
    <w:p>
      <w:pPr>
        <w:pStyle w:val="ListBullet"/>
        <w:spacing w:after="60"/>
        <w:ind w:left="397"/>
        <w:jc w:val="both"/>
      </w:pPr>
      <w:r>
        <w:rPr>
          <w:rFonts w:ascii="Calibri" w:hAnsi="Calibri"/>
          <w:color w:val="1A1A1A"/>
          <w:sz w:val="24"/>
        </w:rPr>
        <w:t>Não transformar tecnologia em obrigação universal.</w:t>
      </w:r>
    </w:p>
    <w:p>
      <w:pPr>
        <w:pStyle w:val="ListBullet"/>
        <w:spacing w:after="60"/>
        <w:ind w:left="397"/>
        <w:jc w:val="both"/>
      </w:pPr>
      <w:r>
        <w:rPr>
          <w:rFonts w:ascii="Calibri" w:hAnsi="Calibri"/>
          <w:color w:val="1A1A1A"/>
          <w:sz w:val="24"/>
        </w:rPr>
        <w:t>Não orientar conduta terapêutica individualizada em rede social.</w:t>
      </w:r>
    </w:p>
    <w:p>
      <w:pPr>
        <w:pStyle w:val="ListBullet"/>
        <w:spacing w:after="60"/>
        <w:ind w:left="397"/>
        <w:jc w:val="both"/>
      </w:pPr>
      <w:r>
        <w:rPr>
          <w:rFonts w:ascii="Calibri" w:hAnsi="Calibri"/>
          <w:color w:val="1A1A1A"/>
          <w:sz w:val="24"/>
        </w:rPr>
        <w:t>Não usar depoimento de paciente sem consentimento específico e validação jurídica.</w:t>
      </w:r>
    </w:p>
    <w:p>
      <w:pPr>
        <w:pStyle w:val="ListBullet"/>
        <w:spacing w:after="60"/>
        <w:ind w:left="397"/>
        <w:jc w:val="both"/>
      </w:pPr>
      <w:r>
        <w:rPr>
          <w:rFonts w:ascii="Calibri" w:hAnsi="Calibri"/>
          <w:color w:val="1A1A1A"/>
          <w:sz w:val="24"/>
        </w:rPr>
        <w:t>Não publicar conteúdo derivado de documento ainda não validado institucionalmente.</w:t>
      </w:r>
    </w:p>
    <w:p>
      <w:pPr>
        <w:pStyle w:val="ListBullet"/>
        <w:spacing w:after="60"/>
        <w:ind w:left="397"/>
        <w:jc w:val="both"/>
      </w:pPr>
      <w:r>
        <w:rPr>
          <w:rFonts w:ascii="Calibri" w:hAnsi="Calibri"/>
          <w:color w:val="1A1A1A"/>
          <w:sz w:val="24"/>
        </w:rPr>
        <w:t>Não opinar sobre controvérsias judiciais em curso.</w:t>
      </w:r>
    </w:p>
    <w:p>
      <w:pPr>
        <w:pStyle w:val="ListBullet"/>
        <w:spacing w:after="60"/>
        <w:ind w:left="397"/>
        <w:jc w:val="both"/>
      </w:pPr>
      <w:r>
        <w:rPr>
          <w:rFonts w:ascii="Calibri" w:hAnsi="Calibri"/>
          <w:color w:val="1A1A1A"/>
          <w:sz w:val="24"/>
        </w:rPr>
        <w:t>Incluir sempre a legenda de natureza educativa e de limite institucional.</w:t>
      </w:r>
    </w:p>
    <w:p>
      <w:pPr>
        <w:pStyle w:val="ListBullet"/>
        <w:spacing w:after="60"/>
        <w:ind w:left="397"/>
        <w:jc w:val="both"/>
      </w:pPr>
      <w:r>
        <w:rPr>
          <w:rFonts w:ascii="Calibri" w:hAnsi="Calibri"/>
          <w:color w:val="1A1A1A"/>
          <w:sz w:val="24"/>
        </w:rPr>
        <w:t>Registrar, no controle do Núcleo, o conteúdo publicado e a data.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Relação com o documento 15</w:t>
            </w:r>
          </w:p>
          <w:p>
            <w:pPr>
              <w:spacing w:after="0"/>
              <w:jc w:val="both"/>
            </w:pPr>
            <w:r>
              <w:rPr>
                <w:rFonts w:ascii="Calibri" w:hAnsi="Calibri"/>
                <w:color w:val="1A1A1A"/>
                <w:sz w:val="24"/>
              </w:rPr>
              <w:t>O plano de conteúdo do documento 15 permanece válido como pauta editorial de doze publicações. Este documento entrega a primeira peça produzida a partir dele, já em formato final. A assinatura pública de ambos passa a ser a Câmara Técnica de Harmonização Orofacial do CRO-MG, conforme a decisão registrada no documento 16.</w:t>
            </w:r>
          </w:p>
        </w:tc>
      </w:tr>
    </w:tbl>
    <w:p>
      <w:pPr>
        <w:spacing w:after="80"/>
      </w:pPr>
    </w:p>
    <w:p>
      <w:pPr>
        <w:keepNext/>
        <w:spacing w:before="360" w:after="160"/>
        <w:jc w:val="left"/>
        <w:pBdr>
          <w:bottom w:val="single" w:sz="8" w:space="4" w:color="143C64"/>
        </w:pBdr>
      </w:pPr>
      <w:r>
        <w:rPr>
          <w:rFonts w:ascii="Calibri" w:hAnsi="Calibri"/>
          <w:b/>
          <w:color w:val="143C64"/>
          <w:sz w:val="30"/>
        </w:rPr>
        <w:t>5  Arquivos que acompanham este documento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838"/>
        <w:gridCol w:w="2775"/>
        <w:gridCol w:w="3459"/>
      </w:tblGrid>
      <w:tr>
        <w:trPr>
          <w:cantSplit/>
          <w:tblHeader/>
        </w:trPr>
        <w:tc>
          <w:tcPr>
            <w:tcW w:type="dxa" w:w="2838"/>
            <w:shd w:val="clear" w:color="auto" w:fill="143C64"/>
          </w:tcPr>
          <w:p>
            <w:pPr>
              <w:spacing w:after="0"/>
              <w:jc w:val="left"/>
            </w:pPr>
            <w:r/>
            <w:r>
              <w:rPr>
                <w:rFonts w:ascii="Calibri" w:hAnsi="Calibri"/>
                <w:b/>
                <w:color w:val="FFFFFF"/>
                <w:sz w:val="24"/>
              </w:rPr>
              <w:t>Arquivo</w:t>
            </w:r>
          </w:p>
        </w:tc>
        <w:tc>
          <w:tcPr>
            <w:tcW w:type="dxa" w:w="2775"/>
            <w:shd w:val="clear" w:color="auto" w:fill="143C64"/>
          </w:tcPr>
          <w:p>
            <w:pPr>
              <w:spacing w:after="0"/>
              <w:jc w:val="left"/>
            </w:pPr>
            <w:r/>
            <w:r>
              <w:rPr>
                <w:rFonts w:ascii="Calibri" w:hAnsi="Calibri"/>
                <w:b/>
                <w:color w:val="FFFFFF"/>
                <w:sz w:val="24"/>
              </w:rPr>
              <w:t>Formato</w:t>
            </w:r>
          </w:p>
        </w:tc>
        <w:tc>
          <w:tcPr>
            <w:tcW w:type="dxa" w:w="3459"/>
            <w:shd w:val="clear" w:color="auto" w:fill="143C64"/>
          </w:tcPr>
          <w:p>
            <w:pPr>
              <w:spacing w:after="0"/>
              <w:jc w:val="left"/>
            </w:pPr>
            <w:r/>
            <w:r>
              <w:rPr>
                <w:rFonts w:ascii="Calibri" w:hAnsi="Calibri"/>
                <w:b/>
                <w:color w:val="FFFFFF"/>
                <w:sz w:val="24"/>
              </w:rPr>
              <w:t>Uso</w:t>
            </w:r>
          </w:p>
        </w:tc>
      </w:tr>
      <w:tr>
        <w:trPr>
          <w:cantSplit/>
        </w:trPr>
        <w:tc>
          <w:tcPr>
            <w:tcW w:type="dxa" w:w="2838"/>
          </w:tcPr>
          <w:p>
            <w:pPr>
              <w:spacing w:after="0"/>
              <w:jc w:val="left"/>
            </w:pPr>
            <w:r/>
            <w:r>
              <w:rPr>
                <w:rFonts w:ascii="Calibri" w:hAnsi="Calibri"/>
                <w:b w:val="0"/>
                <w:color w:val="1A1A1A"/>
                <w:sz w:val="24"/>
              </w:rPr>
              <w:t>Carrossel HOF Segura, dez cards</w:t>
            </w:r>
          </w:p>
        </w:tc>
        <w:tc>
          <w:tcPr>
            <w:tcW w:type="dxa" w:w="2775"/>
          </w:tcPr>
          <w:p>
            <w:pPr>
              <w:spacing w:after="0"/>
              <w:jc w:val="left"/>
            </w:pPr>
            <w:r/>
            <w:r>
              <w:rPr>
                <w:rFonts w:ascii="Calibri" w:hAnsi="Calibri"/>
                <w:b w:val="0"/>
                <w:color w:val="1A1A1A"/>
                <w:sz w:val="24"/>
              </w:rPr>
              <w:t>PNG, 900 por 900 pixels</w:t>
            </w:r>
          </w:p>
        </w:tc>
        <w:tc>
          <w:tcPr>
            <w:tcW w:type="dxa" w:w="3459"/>
          </w:tcPr>
          <w:p>
            <w:pPr>
              <w:spacing w:after="0"/>
              <w:jc w:val="left"/>
            </w:pPr>
            <w:r/>
            <w:r>
              <w:rPr>
                <w:rFonts w:ascii="Calibri" w:hAnsi="Calibri"/>
                <w:b w:val="0"/>
                <w:color w:val="1A1A1A"/>
                <w:sz w:val="24"/>
              </w:rPr>
              <w:t>Publicação direta após validação e aplicação da identidade oficial.</w:t>
            </w:r>
          </w:p>
        </w:tc>
      </w:tr>
      <w:tr>
        <w:trPr>
          <w:cantSplit/>
        </w:trPr>
        <w:tc>
          <w:tcPr>
            <w:tcW w:type="dxa" w:w="2838"/>
            <w:shd w:val="clear" w:color="auto" w:fill="F2F5F8"/>
          </w:tcPr>
          <w:p>
            <w:pPr>
              <w:spacing w:after="0"/>
              <w:jc w:val="left"/>
            </w:pPr>
            <w:r/>
            <w:r>
              <w:rPr>
                <w:rFonts w:ascii="Calibri" w:hAnsi="Calibri"/>
                <w:b w:val="0"/>
                <w:color w:val="1A1A1A"/>
                <w:sz w:val="24"/>
              </w:rPr>
              <w:t>Carrossel HOF Segura</w:t>
            </w:r>
          </w:p>
        </w:tc>
        <w:tc>
          <w:tcPr>
            <w:tcW w:type="dxa" w:w="2775"/>
            <w:shd w:val="clear" w:color="auto" w:fill="F2F5F8"/>
          </w:tcPr>
          <w:p>
            <w:pPr>
              <w:spacing w:after="0"/>
              <w:jc w:val="left"/>
            </w:pPr>
            <w:r/>
            <w:r>
              <w:rPr>
                <w:rFonts w:ascii="Calibri" w:hAnsi="Calibri"/>
                <w:b w:val="0"/>
                <w:color w:val="1A1A1A"/>
                <w:sz w:val="24"/>
              </w:rPr>
              <w:t>PPTX editável</w:t>
            </w:r>
          </w:p>
        </w:tc>
        <w:tc>
          <w:tcPr>
            <w:tcW w:type="dxa" w:w="3459"/>
            <w:shd w:val="clear" w:color="auto" w:fill="F2F5F8"/>
          </w:tcPr>
          <w:p>
            <w:pPr>
              <w:spacing w:after="0"/>
              <w:jc w:val="left"/>
            </w:pPr>
            <w:r/>
            <w:r>
              <w:rPr>
                <w:rFonts w:ascii="Calibri" w:hAnsi="Calibri"/>
                <w:b w:val="0"/>
                <w:color w:val="1A1A1A"/>
                <w:sz w:val="24"/>
              </w:rPr>
              <w:t>Ajuste de texto e adequação de identidade pela área de Comunicação.</w:t>
            </w:r>
          </w:p>
        </w:tc>
      </w:tr>
      <w:tr>
        <w:trPr>
          <w:cantSplit/>
        </w:trPr>
        <w:tc>
          <w:tcPr>
            <w:tcW w:type="dxa" w:w="2838"/>
          </w:tcPr>
          <w:p>
            <w:pPr>
              <w:spacing w:after="0"/>
              <w:jc w:val="left"/>
            </w:pPr>
            <w:r/>
            <w:r>
              <w:rPr>
                <w:rFonts w:ascii="Calibri" w:hAnsi="Calibri"/>
                <w:b w:val="0"/>
                <w:color w:val="1A1A1A"/>
                <w:sz w:val="24"/>
              </w:rPr>
              <w:t>Rascunho de vídeo</w:t>
            </w:r>
          </w:p>
        </w:tc>
        <w:tc>
          <w:tcPr>
            <w:tcW w:type="dxa" w:w="2775"/>
          </w:tcPr>
          <w:p>
            <w:pPr>
              <w:spacing w:after="0"/>
              <w:jc w:val="left"/>
            </w:pPr>
            <w:r/>
            <w:r>
              <w:rPr>
                <w:rFonts w:ascii="Calibri" w:hAnsi="Calibri"/>
                <w:b w:val="0"/>
                <w:color w:val="1A1A1A"/>
                <w:sz w:val="24"/>
              </w:rPr>
              <w:t>MP4, 1080 por 1080 pixels, 33 segundos, sem áudio</w:t>
            </w:r>
          </w:p>
        </w:tc>
        <w:tc>
          <w:tcPr>
            <w:tcW w:type="dxa" w:w="3459"/>
          </w:tcPr>
          <w:p>
            <w:pPr>
              <w:spacing w:after="0"/>
              <w:jc w:val="left"/>
            </w:pPr>
            <w:r/>
            <w:r>
              <w:rPr>
                <w:rFonts w:ascii="Calibri" w:hAnsi="Calibri"/>
                <w:b w:val="0"/>
                <w:color w:val="1A1A1A"/>
                <w:sz w:val="24"/>
              </w:rPr>
              <w:t>Prova de conceito. Requer os ajustes da seção 3.1 antes de publicação.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CT-HOF-COM-01 · Pacote de Comunicação HOF Segura · versão 1.1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Câmara Técnica de HOF · CRO-MG | CT-HOF-COM-01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