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</w:p>
    <w:p>
      <w:pPr>
        <w:spacing w:after="40"/>
        <w:jc w:val="center"/>
      </w:pPr>
      <w:r>
        <w:rPr>
          <w:rFonts w:ascii="Calibri" w:hAnsi="Calibri"/>
          <w:b/>
          <w:i w:val="0"/>
          <w:color w:val="444A52"/>
          <w:sz w:val="24"/>
        </w:rPr>
        <w:t>CONSELHO REGIONAL DE ODONTOLOGIA DE MINAS GERAIS</w:t>
      </w:r>
    </w:p>
    <w:p>
      <w:pPr>
        <w:spacing w:after="4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Câmara Técnica de Harmonização Orofacial</w:t>
      </w:r>
    </w:p>
    <w:p>
      <w:pPr>
        <w:spacing w:after="60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Núcleo 5 · Inovação, Tecnologias e Segurança Clínica</w:t>
      </w:r>
    </w:p>
    <w:p>
      <w:pPr>
        <w:spacing w:after="200"/>
        <w:jc w:val="center"/>
      </w:pPr>
      <w:r>
        <w:rPr>
          <w:rFonts w:ascii="Calibri" w:hAnsi="Calibri"/>
          <w:b/>
          <w:i w:val="0"/>
          <w:color w:val="8A1C1C"/>
          <w:sz w:val="24"/>
        </w:rPr>
        <w:t>PROTOCOLO DE EXECUÇÃO</w:t>
      </w:r>
    </w:p>
    <w:p>
      <w:pPr>
        <w:spacing w:after="160"/>
        <w:jc w:val="center"/>
      </w:pPr>
      <w:r>
        <w:rPr>
          <w:rFonts w:ascii="Calibri" w:hAnsi="Calibri"/>
          <w:b/>
          <w:color w:val="143C64"/>
          <w:sz w:val="48"/>
        </w:rPr>
        <w:t>Levantamento de Intercorrências e de Litígios</w:t>
      </w:r>
    </w:p>
    <w:p>
      <w:pPr>
        <w:spacing w:after="720"/>
        <w:jc w:val="center"/>
      </w:pPr>
      <w:r>
        <w:rPr>
          <w:rFonts w:ascii="Calibri" w:hAnsi="Calibri"/>
          <w:b w:val="0"/>
          <w:i w:val="0"/>
          <w:color w:val="444A52"/>
          <w:sz w:val="26"/>
        </w:rPr>
        <w:t>Fontes, período, estratégia de busca, critérios de inclusão e exclusão, taxonomia, variáveis e limitações declaradas, para execução no ciclo 2026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731"/>
        <w:gridCol w:w="5341"/>
      </w:tblGrid>
      <w:tr>
        <w:trPr>
          <w:cantSplit/>
          <w:tblHeader/>
        </w:trPr>
        <w:tc>
          <w:tcPr>
            <w:tcW w:type="dxa" w:w="373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Identificação do documento</w:t>
            </w:r>
          </w:p>
        </w:tc>
        <w:tc>
          <w:tcPr>
            <w:tcW w:type="dxa" w:w="534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Código de controle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N5-PROT-01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Versão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1.0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de emissão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25 de agosto de 2026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 para deliberação e início de execução (Meta M3)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Elaboração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Núcleo 5 · Inovação, Tecnologias e Segurança Clínica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Natureza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técnico-consultivo, sem caráter normativo ou disciplinar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Condição de publicação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Sujeito a validação pela Diretoria Executiva do CRO-MG</w:t>
            </w:r>
          </w:p>
        </w:tc>
      </w:tr>
    </w:tbl>
    <w:p>
      <w:pPr>
        <w:spacing w:after="480"/>
      </w:pPr>
    </w:p>
    <w:p>
      <w:pPr>
        <w:spacing w:after="120"/>
        <w:jc w:val="center"/>
      </w:pPr>
      <w:r>
        <w:rPr>
          <w:rFonts w:ascii="Calibri" w:hAnsi="Calibri"/>
          <w:b w:val="0"/>
          <w:i/>
          <w:color w:val="444A52"/>
          <w:sz w:val="24"/>
        </w:rPr>
        <w:t>Documento de circulação interna do Núcleo 5. Não constitui norma, parecer vinculante ou orientação oficial do CRO-MG enquanto não houver deliberação do colegiado e validação da Diretoria Executiva.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1  Finalidade e delimitação do produto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Este protocolo estabelece, por escrito e antes da execução, como o Núcleo 5 levantará intercorrências associadas a procedimentos de harmonização orofacial e litígios deles decorrentes. Atende à Meta M3 do ciclo, cujo indicador de verificação é precisamente a existência de protocolo escrito, com fontes, período e critérios declarados.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anterioridade do protocolo em relação à busca não é formalidade. Estratégia definida depois de vistos os resultados permite, ainda que involuntariamente, ajustar critérios até que os números confirmem a expectativa de quem busca. Declarar antes é o que separa levantamento de ilustração.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1.1  O que este levantamento produz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Uma linha de base de sinais: tipos de evento descritos, mecanismos, momento de início, gravidade e desfecho, com a origem de cada informação identificada.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Um mapa de lacunas: matérias sobre as quais a busca estruturada não retornou informação, registradas com a estratégia empregada, para que a lacuna seja verificável.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Um conjunto de prioridades de prevenção, derivado dos pontos em que a falha se mostra recorrente e evitável.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1.2  O que este levantamento não produz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EDED"/>
          <w:bottom w:val="single" w:sz="4" w:space="0" w:color="FBEDED"/>
          <w:right w:val="single" w:sz="4" w:space="0" w:color="FBEDED"/>
          <w:insideH w:val="single" w:sz="4" w:space="0" w:color="FBEDED"/>
          <w:insideV w:val="single" w:sz="4" w:space="0" w:color="FBEDED"/>
          <w:left w:val="single" w:sz="24" w:space="0" w:color="8A1C1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EDED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Limite metodológico assumido de forma expressa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Este levantamento não produz incidência, prevalência ou taxa de complicação. Bases de notificação, literatura publicada e processos judiciais sofrem subnotificação, duplicidade e viés de seleção, e não dispõem de denominador confiável, isto é, do número total de procedimentos realizados. Números absolutos e proporções internas ao conjunto localizado serão apresentados como tais. Apresentar frequência populacional sem denominador seria fabricação, e não estimativa.</w:t>
            </w:r>
          </w:p>
        </w:tc>
      </w:tr>
    </w:tbl>
    <w:p>
      <w:pPr>
        <w:spacing w:after="80"/>
      </w:pP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Não produz ranking de tecnologias, de produtos, de fabricantes ou de profissionais.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Não produz juízo sobre casos individuais, nem sobre conduta de profissional identificável.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Não produz conclusão de causalidade a partir de relato de caso ou de notificação isolada.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2  Perguntas do levantamento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busca responde a perguntas declaradas. Pergunta não declarada não é respondida, e achado incidental relevante é registrado separadamente, como material para o ciclo seguinte.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133"/>
        <w:gridCol w:w="5928"/>
        <w:gridCol w:w="2011"/>
      </w:tblGrid>
      <w:tr>
        <w:trPr>
          <w:cantSplit/>
          <w:tblHeader/>
        </w:trPr>
        <w:tc>
          <w:tcPr>
            <w:tcW w:type="dxa" w:w="113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592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Pergunta</w:t>
            </w:r>
          </w:p>
        </w:tc>
        <w:tc>
          <w:tcPr>
            <w:tcW w:type="dxa" w:w="201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Bloco</w:t>
            </w:r>
          </w:p>
        </w:tc>
      </w:tr>
      <w:tr>
        <w:trPr>
          <w:cantSplit/>
        </w:trPr>
        <w:tc>
          <w:tcPr>
            <w:tcW w:type="dxa" w:w="113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Q1</w:t>
            </w:r>
          </w:p>
        </w:tc>
        <w:tc>
          <w:tcPr>
            <w:tcW w:type="dxa" w:w="59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Quais tipos de intercorrência associados a procedimentos de harmonização orofacial estão descritos na literatura indexada, com que mecanismo e com que desfecho?</w:t>
            </w:r>
          </w:p>
        </w:tc>
        <w:tc>
          <w:tcPr>
            <w:tcW w:type="dxa" w:w="20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</w:t>
            </w:r>
          </w:p>
        </w:tc>
      </w:tr>
      <w:tr>
        <w:trPr>
          <w:cantSplit/>
        </w:trPr>
        <w:tc>
          <w:tcPr>
            <w:tcW w:type="dxa" w:w="113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Q2</w:t>
            </w:r>
          </w:p>
        </w:tc>
        <w:tc>
          <w:tcPr>
            <w:tcW w:type="dxa" w:w="592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Quais intercorrências são objeto de alerta, notificação ou recolhimento por autoridades sanitárias?</w:t>
            </w:r>
          </w:p>
        </w:tc>
        <w:tc>
          <w:tcPr>
            <w:tcW w:type="dxa" w:w="20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</w:t>
            </w:r>
          </w:p>
        </w:tc>
      </w:tr>
      <w:tr>
        <w:trPr>
          <w:cantSplit/>
        </w:trPr>
        <w:tc>
          <w:tcPr>
            <w:tcW w:type="dxa" w:w="113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Q3</w:t>
            </w:r>
          </w:p>
        </w:tc>
        <w:tc>
          <w:tcPr>
            <w:tcW w:type="dxa" w:w="59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Em que momento, em relação ao procedimento, os sinais de alerta descritos se manifestam, e qual a janela de resposta descrita?</w:t>
            </w:r>
          </w:p>
        </w:tc>
        <w:tc>
          <w:tcPr>
            <w:tcW w:type="dxa" w:w="20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</w:t>
            </w:r>
          </w:p>
        </w:tc>
      </w:tr>
      <w:tr>
        <w:trPr>
          <w:cantSplit/>
        </w:trPr>
        <w:tc>
          <w:tcPr>
            <w:tcW w:type="dxa" w:w="113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Q4</w:t>
            </w:r>
          </w:p>
        </w:tc>
        <w:tc>
          <w:tcPr>
            <w:tcW w:type="dxa" w:w="592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Qual conduta de manejo é descrita para cada tipo de intercorrência, e que recursos essa conduta exige do serviço?</w:t>
            </w:r>
          </w:p>
        </w:tc>
        <w:tc>
          <w:tcPr>
            <w:tcW w:type="dxa" w:w="20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</w:t>
            </w:r>
          </w:p>
        </w:tc>
      </w:tr>
      <w:tr>
        <w:trPr>
          <w:cantSplit/>
        </w:trPr>
        <w:tc>
          <w:tcPr>
            <w:tcW w:type="dxa" w:w="113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Q5</w:t>
            </w:r>
          </w:p>
        </w:tc>
        <w:tc>
          <w:tcPr>
            <w:tcW w:type="dxa" w:w="59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Quais alegações e quais falhas são recorrentes nas demandas judiciais relacionadas a harmonização orofacial?</w:t>
            </w:r>
          </w:p>
        </w:tc>
        <w:tc>
          <w:tcPr>
            <w:tcW w:type="dxa" w:w="20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</w:t>
            </w:r>
          </w:p>
        </w:tc>
      </w:tr>
      <w:tr>
        <w:trPr>
          <w:cantSplit/>
        </w:trPr>
        <w:tc>
          <w:tcPr>
            <w:tcW w:type="dxa" w:w="113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Q6</w:t>
            </w:r>
          </w:p>
        </w:tc>
        <w:tc>
          <w:tcPr>
            <w:tcW w:type="dxa" w:w="592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Qual o papel do prontuário, do termo de consentimento e do registro fotográfico na instrução dessas demandas?</w:t>
            </w:r>
          </w:p>
        </w:tc>
        <w:tc>
          <w:tcPr>
            <w:tcW w:type="dxa" w:w="20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</w:t>
            </w:r>
          </w:p>
        </w:tc>
      </w:tr>
      <w:tr>
        <w:trPr>
          <w:cantSplit/>
        </w:trPr>
        <w:tc>
          <w:tcPr>
            <w:tcW w:type="dxa" w:w="113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Q7</w:t>
            </w:r>
          </w:p>
        </w:tc>
        <w:tc>
          <w:tcPr>
            <w:tcW w:type="dxa" w:w="592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Que lacunas documentais são identificáveis e evitáveis por meio de instrumento produzido pelo Núcleo?</w:t>
            </w:r>
          </w:p>
        </w:tc>
        <w:tc>
          <w:tcPr>
            <w:tcW w:type="dxa" w:w="20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 e B</w:t>
            </w:r>
          </w:p>
        </w:tc>
      </w:tr>
    </w:tbl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3  Bloco A. Levantamento de intercorrências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3.1  Fontes por nível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745"/>
        <w:gridCol w:w="3172"/>
        <w:gridCol w:w="3155"/>
      </w:tblGrid>
      <w:tr>
        <w:trPr>
          <w:cantSplit/>
          <w:tblHeader/>
        </w:trPr>
        <w:tc>
          <w:tcPr>
            <w:tcW w:type="dxa" w:w="274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Nível</w:t>
            </w:r>
          </w:p>
        </w:tc>
        <w:tc>
          <w:tcPr>
            <w:tcW w:type="dxa" w:w="317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Fontes declaradas</w:t>
            </w:r>
          </w:p>
        </w:tc>
        <w:tc>
          <w:tcPr>
            <w:tcW w:type="dxa" w:w="315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Produto do nível</w:t>
            </w:r>
          </w:p>
        </w:tc>
      </w:tr>
      <w:tr>
        <w:trPr>
          <w:cantSplit/>
        </w:trPr>
        <w:tc>
          <w:tcPr>
            <w:tcW w:type="dxa" w:w="274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Internacional</w:t>
            </w:r>
          </w:p>
        </w:tc>
        <w:tc>
          <w:tcPr>
            <w:tcW w:type="dxa" w:w="31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Bases indexadas de literatura biomédica; alertas, comunicados e recolhimentos de autoridades sanitárias estrangeiras; documentos de consenso de sociedades científicas, identificados como tais.</w:t>
            </w:r>
          </w:p>
        </w:tc>
        <w:tc>
          <w:tcPr>
            <w:tcW w:type="dxa" w:w="315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Mapa de eventos por tecnologia, com mecanismo, gravidade, tempo de início e desfecho.</w:t>
            </w:r>
          </w:p>
        </w:tc>
      </w:tr>
      <w:tr>
        <w:trPr>
          <w:cantSplit/>
        </w:trPr>
        <w:tc>
          <w:tcPr>
            <w:tcW w:type="dxa" w:w="274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Nacional</w:t>
            </w:r>
          </w:p>
        </w:tc>
        <w:tc>
          <w:tcPr>
            <w:tcW w:type="dxa" w:w="31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Notificações e alertas de tecnovigilância do sistema nacional de vigilância sanitária; literatura brasileira indexada; séries de casos publicadas.</w:t>
            </w:r>
          </w:p>
        </w:tc>
        <w:tc>
          <w:tcPr>
            <w:tcW w:type="dxa" w:w="315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Panorama nacional, com ressalva expressa de subnotificação.</w:t>
            </w:r>
          </w:p>
        </w:tc>
      </w:tr>
      <w:tr>
        <w:trPr>
          <w:cantSplit/>
        </w:trPr>
        <w:tc>
          <w:tcPr>
            <w:tcW w:type="dxa" w:w="274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Estadual</w:t>
            </w:r>
          </w:p>
        </w:tc>
        <w:tc>
          <w:tcPr>
            <w:tcW w:type="dxa" w:w="31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Dados agregados obtidos por consulta formal, conforme documento N5-OFIC-01; serviços de referência, se houver autorização institucional.</w:t>
            </w:r>
          </w:p>
        </w:tc>
        <w:tc>
          <w:tcPr>
            <w:tcW w:type="dxa" w:w="315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Panorama mineiro ou, na ausência de resposta, registro da lacuna.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3.2  Período declarado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553"/>
        <w:gridCol w:w="2827"/>
        <w:gridCol w:w="3692"/>
      </w:tblGrid>
      <w:tr>
        <w:trPr>
          <w:cantSplit/>
          <w:tblHeader/>
        </w:trPr>
        <w:tc>
          <w:tcPr>
            <w:tcW w:type="dxa" w:w="255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Item</w:t>
            </w:r>
          </w:p>
        </w:tc>
        <w:tc>
          <w:tcPr>
            <w:tcW w:type="dxa" w:w="282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Definição</w:t>
            </w:r>
          </w:p>
        </w:tc>
        <w:tc>
          <w:tcPr>
            <w:tcW w:type="dxa" w:w="369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Justificativa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Período de publicação</w:t>
            </w:r>
          </w:p>
        </w:tc>
        <w:tc>
          <w:tcPr>
            <w:tcW w:type="dxa" w:w="282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1º de janeiro de 2015 a 31 de agosto de 2026.</w:t>
            </w:r>
          </w:p>
        </w:tc>
        <w:tc>
          <w:tcPr>
            <w:tcW w:type="dxa" w:w="369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Recorte de aproximadamente dez anos, que abrange o período de maior difusão dos procedimentos injetáveis e dos dispositivos de emissão de energia em face.</w:t>
            </w:r>
          </w:p>
        </w:tc>
      </w:tr>
      <w:tr>
        <w:trPr>
          <w:cantSplit/>
        </w:trPr>
        <w:tc>
          <w:tcPr>
            <w:tcW w:type="dxa" w:w="25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de execução da busca</w:t>
            </w:r>
          </w:p>
        </w:tc>
        <w:tc>
          <w:tcPr>
            <w:tcW w:type="dxa" w:w="282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 ser registrada no momento da execução, por base consultada.</w:t>
            </w:r>
          </w:p>
        </w:tc>
        <w:tc>
          <w:tcPr>
            <w:tcW w:type="dxa" w:w="369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Base indexada muda entre consultas. Sem a data, o resultado não é replicável.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Idiomas</w:t>
            </w:r>
          </w:p>
        </w:tc>
        <w:tc>
          <w:tcPr>
            <w:tcW w:type="dxa" w:w="282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Português, inglês e espanhol.</w:t>
            </w:r>
          </w:p>
        </w:tc>
        <w:tc>
          <w:tcPr>
            <w:tcW w:type="dxa" w:w="369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Restrição declarada como limitação no item 6, e não omitida.</w:t>
            </w:r>
          </w:p>
        </w:tc>
      </w:tr>
    </w:tbl>
    <w:p>
      <w:r>
        <w:br w:type="page"/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3.3  Estratégia de busca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busca combina três blocos de termos por meio do operador de conjunção. Dentro de cada bloco, os termos são combinados por disjunção. A sintaxe exata é adaptada a cada base e registrada integralmente no formulário do Anexo B, inclusive quando a adaptação alterar o resultado.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610"/>
        <w:gridCol w:w="5462"/>
      </w:tblGrid>
      <w:tr>
        <w:trPr>
          <w:cantSplit/>
          <w:tblHeader/>
        </w:trPr>
        <w:tc>
          <w:tcPr>
            <w:tcW w:type="dxa" w:w="361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Bloco</w:t>
            </w:r>
          </w:p>
        </w:tc>
        <w:tc>
          <w:tcPr>
            <w:tcW w:type="dxa" w:w="546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Termos declarados</w:t>
            </w:r>
          </w:p>
        </w:tc>
      </w:tr>
      <w:tr>
        <w:trPr>
          <w:cantSplit/>
        </w:trPr>
        <w:tc>
          <w:tcPr>
            <w:tcW w:type="dxa" w:w="361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Bloco 1. Procedimento ou produto</w:t>
            </w:r>
          </w:p>
        </w:tc>
        <w:tc>
          <w:tcPr>
            <w:tcW w:type="dxa" w:w="54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harmonização orofacial; preenchimento facial; ácido hialurônico; toxina botulínica; bioestimulador de colágeno; hidroxiapatita de cálcio; ácido poli-L-láctico; fio de sustentação; laser; luz intensa pulsada; radiofrequência; ultrassom microfocado; bichectomia; lipoplastia facial; intradermoterapia.</w:t>
            </w:r>
          </w:p>
        </w:tc>
      </w:tr>
      <w:tr>
        <w:trPr>
          <w:cantSplit/>
        </w:trPr>
        <w:tc>
          <w:tcPr>
            <w:tcW w:type="dxa" w:w="361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Bloco 2. Evento adverso</w:t>
            </w:r>
          </w:p>
        </w:tc>
        <w:tc>
          <w:tcPr>
            <w:tcW w:type="dxa" w:w="54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complicação; evento adverso; intercorrência; oclusão vascular; isquemia; necrose; amaurose; cegueira; embolia; nódulo; granuloma; reação tardia; infecção; abscesso; biofilme; queimadura; parestesia; paresia; lesão nervosa; hematoma; edema persistente.</w:t>
            </w:r>
          </w:p>
        </w:tc>
      </w:tr>
      <w:tr>
        <w:trPr>
          <w:cantSplit/>
        </w:trPr>
        <w:tc>
          <w:tcPr>
            <w:tcW w:type="dxa" w:w="361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Bloco 3. Desfecho ou manejo</w:t>
            </w:r>
          </w:p>
        </w:tc>
        <w:tc>
          <w:tcPr>
            <w:tcW w:type="dxa" w:w="54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manejo; tratamento; hialuronidase; reversão; sequela; desfecho; prevenção; diagnóstico precoce.</w:t>
            </w:r>
          </w:p>
        </w:tc>
      </w:tr>
    </w:tbl>
    <w:p>
      <w:pPr>
        <w:spacing w:after="80"/>
      </w:pP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Bloco 3 é aplicado de forma facultativa, para refinamento, e sua aplicação é registrada. Buscas realizadas apenas com os Blocos 1 e 2 são registradas separadamente das que incluíram o Bloco 3, para que a diferença de rendimento seja visível.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3.4  Critérios de inclusão e de exclusão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938"/>
        <w:gridCol w:w="5134"/>
      </w:tblGrid>
      <w:tr>
        <w:trPr>
          <w:cantSplit/>
          <w:tblHeader/>
        </w:trPr>
        <w:tc>
          <w:tcPr>
            <w:tcW w:type="dxa" w:w="393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Inclusão</w:t>
            </w:r>
          </w:p>
        </w:tc>
        <w:tc>
          <w:tcPr>
            <w:tcW w:type="dxa" w:w="513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Exclusão</w:t>
            </w:r>
          </w:p>
        </w:tc>
      </w:tr>
      <w:tr>
        <w:trPr>
          <w:cantSplit/>
        </w:trPr>
        <w:tc>
          <w:tcPr>
            <w:tcW w:type="dxa" w:w="39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Publicação no período declarado, em um dos idiomas declarados.</w:t>
            </w:r>
          </w:p>
        </w:tc>
        <w:tc>
          <w:tcPr>
            <w:tcW w:type="dxa" w:w="51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Publicação fora do período ou de idioma não coberto, registrada em quantitativo.</w:t>
            </w:r>
          </w:p>
        </w:tc>
      </w:tr>
      <w:tr>
        <w:trPr>
          <w:cantSplit/>
        </w:trPr>
        <w:tc>
          <w:tcPr>
            <w:tcW w:type="dxa" w:w="39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Estudo, relato, série, revisão, alerta regulatório ou documento de consenso que descreva evento adverso associado a procedimento facial estético.</w:t>
            </w:r>
          </w:p>
        </w:tc>
        <w:tc>
          <w:tcPr>
            <w:tcW w:type="dxa" w:w="51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Material promocional de fabricante, conteúdo publicitário e texto sem descrição de método.</w:t>
            </w:r>
          </w:p>
        </w:tc>
      </w:tr>
      <w:tr>
        <w:trPr>
          <w:cantSplit/>
        </w:trPr>
        <w:tc>
          <w:tcPr>
            <w:tcW w:type="dxa" w:w="39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Descrição mínima suficiente do evento: tipo, contexto e desfecho.</w:t>
            </w:r>
          </w:p>
        </w:tc>
        <w:tc>
          <w:tcPr>
            <w:tcW w:type="dxa" w:w="51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Menção genérica a risco, sem descrição de caso, de série ou de dado agregado.</w:t>
            </w:r>
          </w:p>
        </w:tc>
      </w:tr>
      <w:tr>
        <w:trPr>
          <w:cantSplit/>
        </w:trPr>
        <w:tc>
          <w:tcPr>
            <w:tcW w:type="dxa" w:w="39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 realizado em região facial, por qualquer profissional habilitado, com registro da categoria profissional quando informada.</w:t>
            </w:r>
          </w:p>
        </w:tc>
        <w:tc>
          <w:tcPr>
            <w:tcW w:type="dxa" w:w="51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 em região não facial, salvo quando o mecanismo descrito for diretamente transponível e essa transposição for justificada por escrito.</w:t>
            </w:r>
          </w:p>
        </w:tc>
      </w:tr>
      <w:tr>
        <w:trPr>
          <w:cantSplit/>
        </w:trPr>
        <w:tc>
          <w:tcPr>
            <w:tcW w:type="dxa" w:w="39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acessível na íntegra ou com resumo estruturado suficiente.</w:t>
            </w:r>
          </w:p>
        </w:tc>
        <w:tc>
          <w:tcPr>
            <w:tcW w:type="dxa" w:w="51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inacessível, registrado em quantitativo, com a razão da inacessibilidade.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3.5  Taxonomia de classificação do evento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Todo evento incluído é classificado em uma das nove categorias abaixo. Evento que não se enquadre gera proposta de nova categoria, submetida ao colegiado, e não classificação forçada.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669"/>
        <w:gridCol w:w="5403"/>
      </w:tblGrid>
      <w:tr>
        <w:trPr>
          <w:cantSplit/>
          <w:tblHeader/>
        </w:trPr>
        <w:tc>
          <w:tcPr>
            <w:tcW w:type="dxa" w:w="366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Categoria</w:t>
            </w:r>
          </w:p>
        </w:tc>
        <w:tc>
          <w:tcPr>
            <w:tcW w:type="dxa" w:w="540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Abrangência</w:t>
            </w:r>
          </w:p>
        </w:tc>
      </w:tr>
      <w:tr>
        <w:trPr>
          <w:cantSplit/>
        </w:trPr>
        <w:tc>
          <w:tcPr>
            <w:tcW w:type="dxa" w:w="36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1. Vasculares</w:t>
            </w:r>
          </w:p>
        </w:tc>
        <w:tc>
          <w:tcPr>
            <w:tcW w:type="dxa" w:w="54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Isquemia, oclusão, necrose, eventos oculares e neurológicos relacionados.</w:t>
            </w:r>
          </w:p>
        </w:tc>
      </w:tr>
      <w:tr>
        <w:trPr>
          <w:cantSplit/>
        </w:trPr>
        <w:tc>
          <w:tcPr>
            <w:tcW w:type="dxa" w:w="36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2. Infecciosas</w:t>
            </w:r>
          </w:p>
        </w:tc>
        <w:tc>
          <w:tcPr>
            <w:tcW w:type="dxa" w:w="54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Infecção local, abscesso, celulite, biofilme, contaminação e falhas de processamento.</w:t>
            </w:r>
          </w:p>
        </w:tc>
      </w:tr>
      <w:tr>
        <w:trPr>
          <w:cantSplit/>
        </w:trPr>
        <w:tc>
          <w:tcPr>
            <w:tcW w:type="dxa" w:w="36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3. Inflamatórias e imunológicas</w:t>
            </w:r>
          </w:p>
        </w:tc>
        <w:tc>
          <w:tcPr>
            <w:tcW w:type="dxa" w:w="54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Edema persistente, reação tardia, granuloma e hipersensibilidade.</w:t>
            </w:r>
          </w:p>
        </w:tc>
      </w:tr>
      <w:tr>
        <w:trPr>
          <w:cantSplit/>
        </w:trPr>
        <w:tc>
          <w:tcPr>
            <w:tcW w:type="dxa" w:w="36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4. Neurológicas e funcionais</w:t>
            </w:r>
          </w:p>
        </w:tc>
        <w:tc>
          <w:tcPr>
            <w:tcW w:type="dxa" w:w="54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Neuropraxia, paresia, dor neuropática, disfunção motora ou sensorial.</w:t>
            </w:r>
          </w:p>
        </w:tc>
      </w:tr>
      <w:tr>
        <w:trPr>
          <w:cantSplit/>
        </w:trPr>
        <w:tc>
          <w:tcPr>
            <w:tcW w:type="dxa" w:w="36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5. Térmicas e energéticas</w:t>
            </w:r>
          </w:p>
        </w:tc>
        <w:tc>
          <w:tcPr>
            <w:tcW w:type="dxa" w:w="54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Queimadura, fibrose, necrose, alteração pigmentar, cicatriz e lesão profunda.</w:t>
            </w:r>
          </w:p>
        </w:tc>
      </w:tr>
      <w:tr>
        <w:trPr>
          <w:cantSplit/>
        </w:trPr>
        <w:tc>
          <w:tcPr>
            <w:tcW w:type="dxa" w:w="36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6. Mecânicas e cirúrgicas</w:t>
            </w:r>
          </w:p>
        </w:tc>
        <w:tc>
          <w:tcPr>
            <w:tcW w:type="dxa" w:w="54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Hematoma, seroma, lesão anatômica, falha de sutura e perfuração.</w:t>
            </w:r>
          </w:p>
        </w:tc>
      </w:tr>
      <w:tr>
        <w:trPr>
          <w:cantSplit/>
        </w:trPr>
        <w:tc>
          <w:tcPr>
            <w:tcW w:type="dxa" w:w="36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7. Relacionadas a produto</w:t>
            </w:r>
          </w:p>
        </w:tc>
        <w:tc>
          <w:tcPr>
            <w:tcW w:type="dxa" w:w="54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Adulteração, ausência de regularização, lote, armazenamento, incompatibilidade e uso fora da finalidade aprovada.</w:t>
            </w:r>
          </w:p>
        </w:tc>
      </w:tr>
      <w:tr>
        <w:trPr>
          <w:cantSplit/>
        </w:trPr>
        <w:tc>
          <w:tcPr>
            <w:tcW w:type="dxa" w:w="36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8. Relacionadas a processo</w:t>
            </w:r>
          </w:p>
        </w:tc>
        <w:tc>
          <w:tcPr>
            <w:tcW w:type="dxa" w:w="54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Falha de anamnese, de consentimento, de treinamento, de documentação, de acompanhamento ou resposta tardia.</w:t>
            </w:r>
          </w:p>
        </w:tc>
      </w:tr>
      <w:tr>
        <w:trPr>
          <w:cantSplit/>
        </w:trPr>
        <w:tc>
          <w:tcPr>
            <w:tcW w:type="dxa" w:w="36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9. Digitais</w:t>
            </w:r>
          </w:p>
        </w:tc>
        <w:tc>
          <w:tcPr>
            <w:tcW w:type="dxa" w:w="54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Perda de dados, imagem inadequada, decisão automatizada indevida, vazamento e uso não autorizado de imagem.</w:t>
            </w:r>
          </w:p>
        </w:tc>
      </w:tr>
    </w:tbl>
    <w:p>
      <w:r>
        <w:br w:type="page"/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3.6  Variáveis de extração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815"/>
        <w:gridCol w:w="5257"/>
      </w:tblGrid>
      <w:tr>
        <w:trPr>
          <w:cantSplit/>
          <w:tblHeader/>
        </w:trPr>
        <w:tc>
          <w:tcPr>
            <w:tcW w:type="dxa" w:w="381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Variável</w:t>
            </w:r>
          </w:p>
        </w:tc>
        <w:tc>
          <w:tcPr>
            <w:tcW w:type="dxa" w:w="525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 exigido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Identificação da fonte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Referência completa, base de origem e data da consulta.</w:t>
            </w:r>
          </w:p>
        </w:tc>
      </w:tr>
      <w:tr>
        <w:trPr>
          <w:cantSplit/>
        </w:trPr>
        <w:tc>
          <w:tcPr>
            <w:tcW w:type="dxa" w:w="38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Desenho do estudo</w:t>
            </w:r>
          </w:p>
        </w:tc>
        <w:tc>
          <w:tcPr>
            <w:tcW w:type="dxa" w:w="52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Revisão sistemática, ensaio, coorte, série, relato, alerta regulatório ou consenso.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Número de casos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Quantitativo descrito na fonte, sem soma entre fontes distintas.</w:t>
            </w:r>
          </w:p>
        </w:tc>
      </w:tr>
      <w:tr>
        <w:trPr>
          <w:cantSplit/>
        </w:trPr>
        <w:tc>
          <w:tcPr>
            <w:tcW w:type="dxa" w:w="38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 ou tecnologia</w:t>
            </w:r>
          </w:p>
        </w:tc>
        <w:tc>
          <w:tcPr>
            <w:tcW w:type="dxa" w:w="52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Denominação genérica. Marca apenas quando indispensável à compreensão do mecanismo.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Categoria do evento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Uma das nove categorias do item 3.5.</w:t>
            </w:r>
          </w:p>
        </w:tc>
      </w:tr>
      <w:tr>
        <w:trPr>
          <w:cantSplit/>
        </w:trPr>
        <w:tc>
          <w:tcPr>
            <w:tcW w:type="dxa" w:w="38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Mecanismo descrito</w:t>
            </w:r>
          </w:p>
        </w:tc>
        <w:tc>
          <w:tcPr>
            <w:tcW w:type="dxa" w:w="52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Conforme descrito pela fonte, sem interpretação do extrator.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Tempo de início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Intervalo entre procedimento e manifestação, quando informado.</w:t>
            </w:r>
          </w:p>
        </w:tc>
      </w:tr>
      <w:tr>
        <w:trPr>
          <w:cantSplit/>
        </w:trPr>
        <w:tc>
          <w:tcPr>
            <w:tcW w:type="dxa" w:w="38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Gravidade</w:t>
            </w:r>
          </w:p>
        </w:tc>
        <w:tc>
          <w:tcPr>
            <w:tcW w:type="dxa" w:w="52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Conforme classificação da fonte. Ausência de classificação é registrada como tal.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Manejo descrito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Conduta adotada e recursos exigidos.</w:t>
            </w:r>
          </w:p>
        </w:tc>
      </w:tr>
      <w:tr>
        <w:trPr>
          <w:cantSplit/>
        </w:trPr>
        <w:tc>
          <w:tcPr>
            <w:tcW w:type="dxa" w:w="381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Desfecho</w:t>
            </w:r>
          </w:p>
        </w:tc>
        <w:tc>
          <w:tcPr>
            <w:tcW w:type="dxa" w:w="525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Resolução, sequela, irreversibilidade ou desfecho não informado.</w:t>
            </w:r>
          </w:p>
        </w:tc>
      </w:tr>
      <w:tr>
        <w:trPr>
          <w:cantSplit/>
        </w:trPr>
        <w:tc>
          <w:tcPr>
            <w:tcW w:type="dxa" w:w="381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Limitações declaradas</w:t>
            </w:r>
          </w:p>
        </w:tc>
        <w:tc>
          <w:tcPr>
            <w:tcW w:type="dxa" w:w="525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Limitações apontadas pelos próprios autores da fonte.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3.7  Regra de duplicidade e de contagem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Caso publicado em mais de uma fonte é contado uma única vez. A duplicidade é registrada, e não descartada silenciosamente.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Série de casos não é somada a relatos individuais que possam integrá-la.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Notificação regulatória e publicação científica são contabilizadas em conjuntos separados, por terem naturezas distintas.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Todo quantitativo apresentado no produto final indica expressamente o conjunto de origem e o total do conjunto.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3.8  Registro do fluxo de seleção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fluxo é registrado em números, de modo que qualquer leitor possa reconstruir o caminho entre o total recuperado e o total analisado.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661"/>
        <w:gridCol w:w="4411"/>
      </w:tblGrid>
      <w:tr>
        <w:trPr>
          <w:cantSplit/>
          <w:tblHeader/>
        </w:trPr>
        <w:tc>
          <w:tcPr>
            <w:tcW w:type="dxa" w:w="466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Etapa do fluxo</w:t>
            </w:r>
          </w:p>
        </w:tc>
        <w:tc>
          <w:tcPr>
            <w:tcW w:type="dxa" w:w="441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Quantitativo</w:t>
            </w:r>
          </w:p>
        </w:tc>
      </w:tr>
      <w:tr>
        <w:trPr>
          <w:cantSplit/>
        </w:trPr>
        <w:tc>
          <w:tcPr>
            <w:tcW w:type="dxa" w:w="466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Registros recuperados por base</w:t>
            </w:r>
          </w:p>
        </w:tc>
        <w:tc>
          <w:tcPr>
            <w:tcW w:type="dxa" w:w="44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Duplicatas removidas</w:t>
            </w:r>
          </w:p>
        </w:tc>
        <w:tc>
          <w:tcPr>
            <w:tcW w:type="dxa" w:w="44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Registros triados por título e resumo</w:t>
            </w:r>
          </w:p>
        </w:tc>
        <w:tc>
          <w:tcPr>
            <w:tcW w:type="dxa" w:w="44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Excluídos na triagem, por motivo</w:t>
            </w:r>
          </w:p>
        </w:tc>
        <w:tc>
          <w:tcPr>
            <w:tcW w:type="dxa" w:w="44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Documentos avaliados na íntegra</w:t>
            </w:r>
          </w:p>
        </w:tc>
        <w:tc>
          <w:tcPr>
            <w:tcW w:type="dxa" w:w="44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Excluídos na leitura integral, por motivo</w:t>
            </w:r>
          </w:p>
        </w:tc>
        <w:tc>
          <w:tcPr>
            <w:tcW w:type="dxa" w:w="441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66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Documentos incluídos na extração</w:t>
            </w:r>
          </w:p>
        </w:tc>
        <w:tc>
          <w:tcPr>
            <w:tcW w:type="dxa" w:w="441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4  Bloco B. Levantamento de litígios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levantamento de litígios tem finalidade preventiva e documental. Seu objeto é identificar que falhas se tornam controvérsia e que documentos fazem diferença na instrução. Não é avaliação de decisões judiciais nem crítica a julgados.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4.1  Escopo, fontes e período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900"/>
        <w:gridCol w:w="6172"/>
      </w:tblGrid>
      <w:tr>
        <w:trPr>
          <w:cantSplit/>
          <w:tblHeader/>
        </w:trPr>
        <w:tc>
          <w:tcPr>
            <w:tcW w:type="dxa" w:w="290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Item</w:t>
            </w:r>
          </w:p>
        </w:tc>
        <w:tc>
          <w:tcPr>
            <w:tcW w:type="dxa" w:w="617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Definição declarada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Escopo</w:t>
            </w:r>
          </w:p>
        </w:tc>
        <w:tc>
          <w:tcPr>
            <w:tcW w:type="dxa" w:w="61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Ações cíveis e consumeristas relacionadas a procedimentos de harmonização orofacial; decisões criminais apenas quando pertinentes ao objeto; jurisprudência e dados processuais de acesso público.</w:t>
            </w:r>
          </w:p>
        </w:tc>
      </w:tr>
      <w:tr>
        <w:trPr>
          <w:cantSplit/>
        </w:trPr>
        <w:tc>
          <w:tcPr>
            <w:tcW w:type="dxa" w:w="290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Fontes</w:t>
            </w:r>
          </w:p>
        </w:tc>
        <w:tc>
          <w:tcPr>
            <w:tcW w:type="dxa" w:w="61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Bases públicas de jurisprudência de tribunais, incluindo o Tribunal de Justiça de Minas Gerais e tribunais superiores; bases oficiais de dados processuais públicos; dados agregados institucionais obtidos conforme o documento N5-OFIC-01.</w:t>
            </w:r>
          </w:p>
        </w:tc>
      </w:tr>
      <w:tr>
        <w:trPr>
          <w:cantSplit/>
        </w:trPr>
        <w:tc>
          <w:tcPr>
            <w:tcW w:type="dxa" w:w="29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Período</w:t>
            </w:r>
          </w:p>
        </w:tc>
        <w:tc>
          <w:tcPr>
            <w:tcW w:type="dxa" w:w="61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Decisões publicadas entre 1º de janeiro de 2019 e 31 de agosto de 2026, recorte que se inicia no ano de reconhecimento formal da atividade como especialidade e permite observar a evolução do contencioso desde então.</w:t>
            </w:r>
          </w:p>
        </w:tc>
      </w:tr>
      <w:tr>
        <w:trPr>
          <w:cantSplit/>
        </w:trPr>
        <w:tc>
          <w:tcPr>
            <w:tcW w:type="dxa" w:w="290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Unidade de análise</w:t>
            </w:r>
          </w:p>
        </w:tc>
        <w:tc>
          <w:tcPr>
            <w:tcW w:type="dxa" w:w="61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 decisão publicada, e não o processo. Processo com mais de uma decisão publicada é registrado uma única vez, com indicação do estágio.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4.2  Termos de busca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Os termos abaixo são combinados entre si e com os termos do Bloco 1 do item 3.3, conforme a sintaxe admitida por cada base. A expressão efetivamente utilizada é registrada no formulário do Anexo B.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harmonização orofacial; preenchimento facial; toxina botulínica; bioestimulador; laser; ultrassom; procedimento estético facial.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erro odontológico; responsabilidade civil do cirurgião-dentista; obrigação de resultado; dano estético; consentimento informado; prontuário; perícia.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necrose; cegueira; queimadura; assimetria; sequela.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4.3  Variáveis de extração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065"/>
        <w:gridCol w:w="5007"/>
      </w:tblGrid>
      <w:tr>
        <w:trPr>
          <w:cantSplit/>
          <w:tblHeader/>
        </w:trPr>
        <w:tc>
          <w:tcPr>
            <w:tcW w:type="dxa" w:w="406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Variável</w:t>
            </w:r>
          </w:p>
        </w:tc>
        <w:tc>
          <w:tcPr>
            <w:tcW w:type="dxa" w:w="500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 exigido</w:t>
            </w:r>
          </w:p>
        </w:tc>
      </w:tr>
      <w:tr>
        <w:trPr>
          <w:cantSplit/>
        </w:trPr>
        <w:tc>
          <w:tcPr>
            <w:tcW w:type="dxa" w:w="4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Órgão julgador e ano</w:t>
            </w:r>
          </w:p>
        </w:tc>
        <w:tc>
          <w:tcPr>
            <w:tcW w:type="dxa" w:w="50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Sem identificação de partes.</w:t>
            </w:r>
          </w:p>
        </w:tc>
      </w:tr>
      <w:tr>
        <w:trPr>
          <w:cantSplit/>
        </w:trPr>
        <w:tc>
          <w:tcPr>
            <w:tcW w:type="dxa" w:w="4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 envolvido</w:t>
            </w:r>
          </w:p>
        </w:tc>
        <w:tc>
          <w:tcPr>
            <w:tcW w:type="dxa" w:w="50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Categoria ampla, conforme item 3.5.</w:t>
            </w:r>
          </w:p>
        </w:tc>
      </w:tr>
      <w:tr>
        <w:trPr>
          <w:cantSplit/>
        </w:trPr>
        <w:tc>
          <w:tcPr>
            <w:tcW w:type="dxa" w:w="4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Dano alegado</w:t>
            </w:r>
          </w:p>
        </w:tc>
        <w:tc>
          <w:tcPr>
            <w:tcW w:type="dxa" w:w="50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Conforme descrito na decisão.</w:t>
            </w:r>
          </w:p>
        </w:tc>
      </w:tr>
      <w:tr>
        <w:trPr>
          <w:cantSplit/>
        </w:trPr>
        <w:tc>
          <w:tcPr>
            <w:tcW w:type="dxa" w:w="4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Falha apontada</w:t>
            </w:r>
          </w:p>
        </w:tc>
        <w:tc>
          <w:tcPr>
            <w:tcW w:type="dxa" w:w="50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Técnica, documental, informacional, de habilitação ou de acompanhamento.</w:t>
            </w:r>
          </w:p>
        </w:tc>
      </w:tr>
      <w:tr>
        <w:trPr>
          <w:cantSplit/>
        </w:trPr>
        <w:tc>
          <w:tcPr>
            <w:tcW w:type="dxa" w:w="4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Papel do prontuário</w:t>
            </w:r>
          </w:p>
        </w:tc>
        <w:tc>
          <w:tcPr>
            <w:tcW w:type="dxa" w:w="50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 foi elemento relevante da instrução e de que modo.</w:t>
            </w:r>
          </w:p>
        </w:tc>
      </w:tr>
      <w:tr>
        <w:trPr>
          <w:cantSplit/>
        </w:trPr>
        <w:tc>
          <w:tcPr>
            <w:tcW w:type="dxa" w:w="4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Papel do termo de consentimento</w:t>
            </w:r>
          </w:p>
        </w:tc>
        <w:tc>
          <w:tcPr>
            <w:tcW w:type="dxa" w:w="50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 foi elemento relevante da instrução e de que modo.</w:t>
            </w:r>
          </w:p>
        </w:tc>
      </w:tr>
      <w:tr>
        <w:trPr>
          <w:cantSplit/>
        </w:trPr>
        <w:tc>
          <w:tcPr>
            <w:tcW w:type="dxa" w:w="4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Papel do registro fotográfico</w:t>
            </w:r>
          </w:p>
        </w:tc>
        <w:tc>
          <w:tcPr>
            <w:tcW w:type="dxa" w:w="50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 foi elemento relevante da instrução e de que modo.</w:t>
            </w:r>
          </w:p>
        </w:tc>
      </w:tr>
      <w:tr>
        <w:trPr>
          <w:cantSplit/>
        </w:trPr>
        <w:tc>
          <w:tcPr>
            <w:tcW w:type="dxa" w:w="4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Natureza da obrigação discutida</w:t>
            </w:r>
          </w:p>
        </w:tc>
        <w:tc>
          <w:tcPr>
            <w:tcW w:type="dxa" w:w="50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Meio ou resultado, conforme fundamentação da decisão.</w:t>
            </w:r>
          </w:p>
        </w:tc>
      </w:tr>
      <w:tr>
        <w:trPr>
          <w:cantSplit/>
        </w:trPr>
        <w:tc>
          <w:tcPr>
            <w:tcW w:type="dxa" w:w="4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Existência de perícia</w:t>
            </w:r>
          </w:p>
        </w:tc>
        <w:tc>
          <w:tcPr>
            <w:tcW w:type="dxa" w:w="50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Sim, não ou não informado.</w:t>
            </w:r>
          </w:p>
        </w:tc>
      </w:tr>
      <w:tr>
        <w:trPr>
          <w:cantSplit/>
        </w:trPr>
        <w:tc>
          <w:tcPr>
            <w:tcW w:type="dxa" w:w="4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Estágio processual</w:t>
            </w:r>
          </w:p>
        </w:tc>
        <w:tc>
          <w:tcPr>
            <w:tcW w:type="dxa" w:w="50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Primeira instância, recurso ou instância superior.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4.4  Vedações específicas do Bloco B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EDED"/>
          <w:bottom w:val="single" w:sz="4" w:space="0" w:color="FBEDED"/>
          <w:right w:val="single" w:sz="4" w:space="0" w:color="FBEDED"/>
          <w:insideH w:val="single" w:sz="4" w:space="0" w:color="FBEDED"/>
          <w:insideV w:val="single" w:sz="4" w:space="0" w:color="FBEDED"/>
          <w:left w:val="single" w:sz="24" w:space="0" w:color="8A1C1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EDED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Regras de anonimização e de uso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É vedado registrar ou reproduzir nome de parte, de profissional, de estabelecimento ou número de processo em qualquer produto do Núcleo. É vedado reproduzir trechos extensos de decisões. É vedado formular juízo sobre o acerto de qualquer julgado ou sobre a conduta de profissional identificável. O produto é o padrão agregado, e nunca o caso.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5  Governança da execução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394"/>
        <w:gridCol w:w="4678"/>
      </w:tblGrid>
      <w:tr>
        <w:trPr>
          <w:cantSplit/>
          <w:tblHeader/>
        </w:trPr>
        <w:tc>
          <w:tcPr>
            <w:tcW w:type="dxa" w:w="439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Regra</w:t>
            </w:r>
          </w:p>
        </w:tc>
        <w:tc>
          <w:tcPr>
            <w:tcW w:type="dxa" w:w="467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Execução</w:t>
            </w:r>
          </w:p>
        </w:tc>
      </w:tr>
      <w:tr>
        <w:trPr>
          <w:cantSplit/>
        </w:trPr>
        <w:tc>
          <w:tcPr>
            <w:tcW w:type="dxa" w:w="439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Dupla extração</w:t>
            </w:r>
          </w:p>
        </w:tc>
        <w:tc>
          <w:tcPr>
            <w:tcW w:type="dxa" w:w="46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Cada documento incluído é extraído por dois membros de forma independente, em amostra mínima de vinte por cento do conjunto.</w:t>
            </w:r>
          </w:p>
        </w:tc>
      </w:tr>
      <w:tr>
        <w:trPr>
          <w:cantSplit/>
        </w:trPr>
        <w:tc>
          <w:tcPr>
            <w:tcW w:type="dxa" w:w="439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Divergência</w:t>
            </w:r>
          </w:p>
        </w:tc>
        <w:tc>
          <w:tcPr>
            <w:tcW w:type="dxa" w:w="467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Divergência entre extratores é resolvida por terceiro membro, e a resolução é registrada, e não apenas aplicada.</w:t>
            </w:r>
          </w:p>
        </w:tc>
      </w:tr>
      <w:tr>
        <w:trPr>
          <w:cantSplit/>
        </w:trPr>
        <w:tc>
          <w:tcPr>
            <w:tcW w:type="dxa" w:w="439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Alteração do protocolo</w:t>
            </w:r>
          </w:p>
        </w:tc>
        <w:tc>
          <w:tcPr>
            <w:tcW w:type="dxa" w:w="46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Toda alteração após o início da execução é registrada com data, autoria e motivo, e o resultado é apresentado com e sem a alteração, quando isso for possível.</w:t>
            </w:r>
          </w:p>
        </w:tc>
      </w:tr>
      <w:tr>
        <w:trPr>
          <w:cantSplit/>
        </w:trPr>
        <w:tc>
          <w:tcPr>
            <w:tcW w:type="dxa" w:w="439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Conflito de interesses</w:t>
            </w:r>
          </w:p>
        </w:tc>
        <w:tc>
          <w:tcPr>
            <w:tcW w:type="dxa" w:w="467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Cada extrator declara conflito de interesses antes de iniciar, nos termos do documento N5-INST-02.</w:t>
            </w:r>
          </w:p>
        </w:tc>
      </w:tr>
      <w:tr>
        <w:trPr>
          <w:cantSplit/>
        </w:trPr>
        <w:tc>
          <w:tcPr>
            <w:tcW w:type="dxa" w:w="439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Rastreabilidade</w:t>
            </w:r>
          </w:p>
        </w:tc>
        <w:tc>
          <w:tcPr>
            <w:tcW w:type="dxa" w:w="46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Toda planilha de extração é arquivada no repositório do Núcleo, com nomenclatura padrão e controle de versão.</w:t>
            </w:r>
          </w:p>
        </w:tc>
      </w:tr>
    </w:tbl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6  Limitações declaradas antecipadamente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As limitações abaixo são conhecidas antes da execução e serão reproduzidas integralmente no produto final. Limitação descoberta durante a execução é acrescentada a esta lista, e não substituída por silêncio.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Ausência de denominador. Não se conhece o número total de procedimentos realizados, o que impede qualquer cálculo de frequência populacional.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Subnotificação. Sistemas de notificação de eventos adversos captam fração desconhecida dos eventos ocorridos.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Viés de publicação. Eventos graves e incomuns são publicados com mais frequência do que eventos leves e comuns.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Viés geográfico. A literatura disponível concentra-se em determinados países e sistemas de saúde, cujas condições podem não corresponder às brasileiras.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Ausência de indexação específica. Não há descritor consolidado para harmonização orofacial em bases internacionais, o que reduz a sensibilidade da busca.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Restrição de idioma, conforme declarado no item 3.2.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No Bloco B, sigilo processual, processos em andamento, ausência de padronização terminológica nas ementas e cobertura desigual das bases públicas.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Ausência de causalidade estabelecida. Associação descrita em relato ou notificação não demonstra relação causal.</w:t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7  Produtos e prazos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178"/>
        <w:gridCol w:w="3640"/>
        <w:gridCol w:w="2254"/>
      </w:tblGrid>
      <w:tr>
        <w:trPr>
          <w:cantSplit/>
          <w:tblHeader/>
        </w:trPr>
        <w:tc>
          <w:tcPr>
            <w:tcW w:type="dxa" w:w="317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Produto</w:t>
            </w:r>
          </w:p>
        </w:tc>
        <w:tc>
          <w:tcPr>
            <w:tcW w:type="dxa" w:w="364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Conteúdo</w:t>
            </w:r>
          </w:p>
        </w:tc>
        <w:tc>
          <w:tcPr>
            <w:tcW w:type="dxa" w:w="225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Prazo</w:t>
            </w:r>
          </w:p>
        </w:tc>
      </w:tr>
      <w:tr>
        <w:trPr>
          <w:cantSplit/>
        </w:trPr>
        <w:tc>
          <w:tcPr>
            <w:tcW w:type="dxa" w:w="31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Registro de busca</w:t>
            </w:r>
          </w:p>
        </w:tc>
        <w:tc>
          <w:tcPr>
            <w:tcW w:type="dxa" w:w="364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Formulário do Anexo B integralmente preenchido, por base consultada.</w:t>
            </w:r>
          </w:p>
        </w:tc>
        <w:tc>
          <w:tcPr>
            <w:tcW w:type="dxa" w:w="225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Setembro</w:t>
            </w:r>
          </w:p>
        </w:tc>
      </w:tr>
      <w:tr>
        <w:trPr>
          <w:cantSplit/>
        </w:trPr>
        <w:tc>
          <w:tcPr>
            <w:tcW w:type="dxa" w:w="317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Consolidação parcial</w:t>
            </w:r>
          </w:p>
        </w:tc>
        <w:tc>
          <w:tcPr>
            <w:tcW w:type="dxa" w:w="364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Extração concluída dos níveis internacional e nacional do Bloco A.</w:t>
            </w:r>
          </w:p>
        </w:tc>
        <w:tc>
          <w:tcPr>
            <w:tcW w:type="dxa" w:w="225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Setembro</w:t>
            </w:r>
          </w:p>
        </w:tc>
      </w:tr>
      <w:tr>
        <w:trPr>
          <w:cantSplit/>
        </w:trPr>
        <w:tc>
          <w:tcPr>
            <w:tcW w:type="dxa" w:w="31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Relatório de linha de base</w:t>
            </w:r>
          </w:p>
        </w:tc>
        <w:tc>
          <w:tcPr>
            <w:tcW w:type="dxa" w:w="364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Bloco A consolidado, com fluxo de seleção e limitações.</w:t>
            </w:r>
          </w:p>
        </w:tc>
        <w:tc>
          <w:tcPr>
            <w:tcW w:type="dxa" w:w="225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Outubro</w:t>
            </w:r>
          </w:p>
        </w:tc>
      </w:tr>
      <w:tr>
        <w:trPr>
          <w:cantSplit/>
        </w:trPr>
        <w:tc>
          <w:tcPr>
            <w:tcW w:type="dxa" w:w="317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Relatório de padrões de risco</w:t>
            </w:r>
          </w:p>
        </w:tc>
        <w:tc>
          <w:tcPr>
            <w:tcW w:type="dxa" w:w="364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Bloco B consolidado, sem exposição de partes ou de casos.</w:t>
            </w:r>
          </w:p>
        </w:tc>
        <w:tc>
          <w:tcPr>
            <w:tcW w:type="dxa" w:w="225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Outubro</w:t>
            </w:r>
          </w:p>
        </w:tc>
      </w:tr>
      <w:tr>
        <w:trPr>
          <w:cantSplit/>
        </w:trPr>
        <w:tc>
          <w:tcPr>
            <w:tcW w:type="dxa" w:w="317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Integração</w:t>
            </w:r>
          </w:p>
        </w:tc>
        <w:tc>
          <w:tcPr>
            <w:tcW w:type="dxa" w:w="364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Prioridades de prevenção derivadas dos dois blocos, para o Manual e para os fluxogramas.</w:t>
            </w:r>
          </w:p>
        </w:tc>
        <w:tc>
          <w:tcPr>
            <w:tcW w:type="dxa" w:w="225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Novembro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A. Planilha de extração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Estrutura mínima da planilha. Cada linha corresponde a um documento incluído.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253"/>
        <w:gridCol w:w="4819"/>
      </w:tblGrid>
      <w:tr>
        <w:trPr>
          <w:cantSplit/>
          <w:tblHeader/>
        </w:trPr>
        <w:tc>
          <w:tcPr>
            <w:tcW w:type="dxa" w:w="425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Campo</w:t>
            </w:r>
          </w:p>
        </w:tc>
        <w:tc>
          <w:tcPr>
            <w:tcW w:type="dxa" w:w="481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Tipo de preenchimento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ID interno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Sequencial atribuído pelo extrator.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Bloco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 ou B.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Fonte e referência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 livre, com base de origem.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da consulta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Desenho ou natureza do documento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Lista fechada.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Número de casos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Numérico ou não informado.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Tecnologia ou procedimento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Denominação genérica.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Categoria do evento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Uma das nove categorias.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Mecanismo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 conforme a fonte.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Tempo de início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Numérico com unidade, ou não informado.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Gravidade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Conforme a fonte.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Manejo e recursos exigidos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 conforme a fonte.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Desfecho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Lista fechada.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Limitações declaradas pela fonte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Extrator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Iniciais.</w:t>
            </w:r>
          </w:p>
        </w:tc>
      </w:tr>
      <w:tr>
        <w:trPr>
          <w:cantSplit/>
        </w:trPr>
        <w:tc>
          <w:tcPr>
            <w:tcW w:type="dxa" w:w="425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Conferido por</w:t>
            </w:r>
          </w:p>
        </w:tc>
        <w:tc>
          <w:tcPr>
            <w:tcW w:type="dxa" w:w="481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Iniciais.</w:t>
            </w:r>
          </w:p>
        </w:tc>
      </w:tr>
      <w:tr>
        <w:trPr>
          <w:cantSplit/>
        </w:trPr>
        <w:tc>
          <w:tcPr>
            <w:tcW w:type="dxa" w:w="425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Divergência e resolução</w:t>
            </w:r>
          </w:p>
        </w:tc>
        <w:tc>
          <w:tcPr>
            <w:tcW w:type="dxa" w:w="481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Texto, quando houver.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B. Registro de busca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Preenchido uma vez por base e por bloco. É o documento que torna a busca replicável e constitui, junto com este protocolo, a evidência do indicador da Meta M3.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789"/>
        <w:gridCol w:w="4283"/>
      </w:tblGrid>
      <w:tr>
        <w:trPr>
          <w:cantSplit/>
          <w:tblHeader/>
        </w:trPr>
        <w:tc>
          <w:tcPr>
            <w:tcW w:type="dxa" w:w="478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Campo</w:t>
            </w:r>
          </w:p>
        </w:tc>
        <w:tc>
          <w:tcPr>
            <w:tcW w:type="dxa" w:w="428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478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Base consultada</w:t>
            </w:r>
          </w:p>
        </w:tc>
        <w:tc>
          <w:tcPr>
            <w:tcW w:type="dxa" w:w="428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Bloco (A ou B)</w:t>
            </w:r>
          </w:p>
        </w:tc>
        <w:tc>
          <w:tcPr>
            <w:tcW w:type="dxa" w:w="428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e hora da consulta</w:t>
            </w:r>
          </w:p>
        </w:tc>
        <w:tc>
          <w:tcPr>
            <w:tcW w:type="dxa" w:w="428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Expressão de busca utilizada, na íntegra</w:t>
            </w:r>
          </w:p>
        </w:tc>
        <w:tc>
          <w:tcPr>
            <w:tcW w:type="dxa" w:w="428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Filtros aplicados</w:t>
            </w:r>
          </w:p>
        </w:tc>
        <w:tc>
          <w:tcPr>
            <w:tcW w:type="dxa" w:w="428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Período aplicado</w:t>
            </w:r>
          </w:p>
        </w:tc>
        <w:tc>
          <w:tcPr>
            <w:tcW w:type="dxa" w:w="428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Total de registros recuperados</w:t>
            </w:r>
          </w:p>
        </w:tc>
        <w:tc>
          <w:tcPr>
            <w:tcW w:type="dxa" w:w="428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Adaptações de sintaxe em relação ao protocolo</w:t>
            </w:r>
          </w:p>
        </w:tc>
        <w:tc>
          <w:tcPr>
            <w:tcW w:type="dxa" w:w="428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Responsável pela execução</w:t>
            </w:r>
          </w:p>
        </w:tc>
        <w:tc>
          <w:tcPr>
            <w:tcW w:type="dxa" w:w="428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78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Observações</w:t>
            </w:r>
          </w:p>
        </w:tc>
        <w:tc>
          <w:tcPr>
            <w:tcW w:type="dxa" w:w="428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32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C. Folha de deliberação (Meta M3)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637"/>
        <w:gridCol w:w="1979"/>
        <w:gridCol w:w="1577"/>
        <w:gridCol w:w="1776"/>
        <w:gridCol w:w="2103"/>
      </w:tblGrid>
      <w:tr>
        <w:trPr>
          <w:cantSplit/>
          <w:tblHeader/>
        </w:trPr>
        <w:tc>
          <w:tcPr>
            <w:tcW w:type="dxa" w:w="163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Membro</w:t>
            </w:r>
          </w:p>
        </w:tc>
        <w:tc>
          <w:tcPr>
            <w:tcW w:type="dxa" w:w="197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Concordo</w:t>
            </w:r>
          </w:p>
        </w:tc>
        <w:tc>
          <w:tcPr>
            <w:tcW w:type="dxa" w:w="157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Ajusto</w:t>
            </w:r>
          </w:p>
        </w:tc>
        <w:tc>
          <w:tcPr>
            <w:tcW w:type="dxa" w:w="177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Rejeito</w:t>
            </w:r>
          </w:p>
        </w:tc>
        <w:tc>
          <w:tcPr>
            <w:tcW w:type="dxa" w:w="210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Motivo do ajuste ou da rejeição</w:t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2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959"/>
        <w:gridCol w:w="4113"/>
      </w:tblGrid>
      <w:tr>
        <w:trPr>
          <w:cantSplit/>
          <w:tblHeader/>
        </w:trPr>
        <w:tc>
          <w:tcPr>
            <w:tcW w:type="dxa" w:w="495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Resultado da deliberação</w:t>
            </w:r>
          </w:p>
        </w:tc>
        <w:tc>
          <w:tcPr>
            <w:tcW w:type="dxa" w:w="411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da reunião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Protocolo aprovado na íntegra</w:t>
            </w:r>
          </w:p>
        </w:tc>
        <w:tc>
          <w:tcPr>
            <w:tcW w:type="dxa" w:w="41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Protocolo aprovado com ajustes (descrever)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Número da ata</w:t>
            </w:r>
          </w:p>
        </w:tc>
        <w:tc>
          <w:tcPr>
            <w:tcW w:type="dxa" w:w="41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de início da execução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240"/>
      </w:pPr>
    </w:p>
    <w:p>
      <w:pPr>
        <w:spacing w:after="120"/>
        <w:jc w:val="both"/>
      </w:pPr>
      <w:r>
        <w:rPr>
          <w:rFonts w:ascii="Calibri" w:hAnsi="Calibri"/>
          <w:b w:val="0"/>
          <w:i/>
          <w:color w:val="1A1A1A"/>
          <w:sz w:val="24"/>
        </w:rPr>
        <w:t>Aprovado o protocolo e registrado o início da execução, o indicador da Meta M3 estará cumprido: protocolo de busca escrito, com fontes, período e critérios declarados, e levantamento iniciado.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444A52"/>
        <w:sz w:val="18"/>
      </w:rPr>
      <w:t>N5-PROT-01 · Protocolo de Levantamento · versão 1.0 · documento técnico-consultivo · uso interno do Núcleo 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Calibri" w:hAnsi="Calibri"/>
        <w:color w:val="444A52"/>
        <w:sz w:val="18"/>
      </w:rPr>
      <w:t>Núcleo 5 · CT-HOF · CRO-MG   |   N5-PROT-01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Calibri" w:hAnsi="Calibri" w:eastAsia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