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CLÍNICO-ORIENTADOR</w:t>
      </w:r>
    </w:p>
    <w:p>
      <w:pPr>
        <w:spacing w:after="160"/>
        <w:jc w:val="center"/>
      </w:pPr>
      <w:r>
        <w:rPr>
          <w:rFonts w:ascii="Calibri" w:hAnsi="Calibri"/>
          <w:b/>
          <w:color w:val="143C64"/>
          <w:sz w:val="48"/>
        </w:rPr>
        <w:t>Guia de Diagnóstico Precoce</w:t>
      </w:r>
    </w:p>
    <w:p>
      <w:pPr>
        <w:spacing w:after="720"/>
        <w:jc w:val="center"/>
      </w:pPr>
      <w:r>
        <w:rPr>
          <w:rFonts w:ascii="Calibri" w:hAnsi="Calibri"/>
          <w:b w:val="0"/>
          <w:i w:val="0"/>
          <w:color w:val="444A52"/>
          <w:sz w:val="26"/>
        </w:rPr>
        <w:t>Reconhecimento precoce de intercorrências em Harmonização Orofacial: sinais por domínio, tempo de instalação, critérios de gravidade e uso criterioso da imagem</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N5-GUIA-01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 e condição de uso</w:t>
      </w:r>
    </w:p>
    <w:p>
      <w:pPr>
        <w:spacing w:after="120"/>
        <w:jc w:val="both"/>
      </w:pPr>
      <w:r>
        <w:rPr>
          <w:rFonts w:ascii="Calibri" w:hAnsi="Calibri"/>
          <w:b w:val="0"/>
          <w:i w:val="0"/>
          <w:color w:val="1A1A1A"/>
          <w:sz w:val="24"/>
        </w:rPr>
        <w:t>Este guia organiza o reconhecimento precoce das intercorrências em Harmonização Orofacial. Ele opera a camada 2 do Fluxograma Estadual. Sua pergunta central não é o que fazer, e sim como perceber a tempo que algo saiu da evolução esperada. O documento não substitui diagnóstico clínico, POP terapêutico, treinamento prático ou atendimento de urgência.</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Princípios do reconhecimento precoce</w:t>
      </w:r>
    </w:p>
    <w:p>
      <w:pPr>
        <w:pStyle w:val="ListBullet"/>
        <w:spacing w:after="60"/>
        <w:ind w:left="397"/>
        <w:jc w:val="both"/>
      </w:pPr>
      <w:r>
        <w:rPr>
          <w:rFonts w:ascii="Calibri" w:hAnsi="Calibri"/>
          <w:color w:val="1A1A1A"/>
          <w:sz w:val="24"/>
        </w:rPr>
        <w:t>Comparar sistematicamente o quadro observado com a evolução esperada daquele procedimento específico, e não com uma noção genérica de normalidade.</w:t>
      </w:r>
    </w:p>
    <w:p>
      <w:pPr>
        <w:pStyle w:val="ListBullet"/>
        <w:spacing w:after="60"/>
        <w:ind w:left="397"/>
        <w:jc w:val="both"/>
      </w:pPr>
      <w:r>
        <w:rPr>
          <w:rFonts w:ascii="Calibri" w:hAnsi="Calibri"/>
          <w:color w:val="1A1A1A"/>
          <w:sz w:val="24"/>
        </w:rPr>
        <w:t>Valorizar o tempo de instalação do sinal. Em suspeita vascular, a velocidade de instalação é informação diagnóstica, não detalhe acessório.</w:t>
      </w:r>
    </w:p>
    <w:p>
      <w:pPr>
        <w:pStyle w:val="ListBullet"/>
        <w:spacing w:after="60"/>
        <w:ind w:left="397"/>
        <w:jc w:val="both"/>
      </w:pPr>
      <w:r>
        <w:rPr>
          <w:rFonts w:ascii="Calibri" w:hAnsi="Calibri"/>
          <w:color w:val="1A1A1A"/>
          <w:sz w:val="24"/>
        </w:rPr>
        <w:t>Registrar os três horários: primeiro sinal, contato e primeira conduta.</w:t>
      </w:r>
    </w:p>
    <w:p>
      <w:pPr>
        <w:pStyle w:val="ListBullet"/>
        <w:spacing w:after="60"/>
        <w:ind w:left="397"/>
        <w:jc w:val="both"/>
      </w:pPr>
      <w:r>
        <w:rPr>
          <w:rFonts w:ascii="Calibri" w:hAnsi="Calibri"/>
          <w:color w:val="1A1A1A"/>
          <w:sz w:val="24"/>
        </w:rPr>
        <w:t>Investigar procedimento realizado, produto, lote, região, plano anatômico, volume ou parâmetros e histórico de tratamentos prévios na área.</w:t>
      </w:r>
    </w:p>
    <w:p>
      <w:pPr>
        <w:pStyle w:val="ListBullet"/>
        <w:spacing w:after="60"/>
        <w:ind w:left="397"/>
        <w:jc w:val="both"/>
      </w:pPr>
      <w:r>
        <w:rPr>
          <w:rFonts w:ascii="Calibri" w:hAnsi="Calibri"/>
          <w:color w:val="1A1A1A"/>
          <w:sz w:val="24"/>
        </w:rPr>
        <w:t>Distinguir explicitamente evento local, reação sistêmica, lesão térmica ou elétrica, infecção, sangramento e comprometimento vascular, neurológico ou visual.</w:t>
      </w:r>
    </w:p>
    <w:p>
      <w:pPr>
        <w:pStyle w:val="ListBullet"/>
        <w:spacing w:after="60"/>
        <w:ind w:left="397"/>
        <w:jc w:val="both"/>
      </w:pPr>
      <w:r>
        <w:rPr>
          <w:rFonts w:ascii="Calibri" w:hAnsi="Calibri"/>
          <w:color w:val="1A1A1A"/>
          <w:sz w:val="24"/>
        </w:rPr>
        <w:t>Não atrasar encaminhamento de urgência para obter exame complementar.</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O paciente é o primeiro observador</w:t>
            </w:r>
          </w:p>
          <w:p>
            <w:pPr>
              <w:spacing w:after="0"/>
              <w:jc w:val="both"/>
            </w:pPr>
            <w:r>
              <w:rPr>
                <w:rFonts w:ascii="Calibri" w:hAnsi="Calibri"/>
                <w:color w:val="1A1A1A"/>
                <w:sz w:val="24"/>
              </w:rPr>
              <w:t>Na maior parte dos eventos tardios, quem percebe o primeiro sinal não é o profissional, e sim o paciente. O intervalo entre o sinal e o contato faz parte da janela terapêutica. Por isso a orientação escrita ao paciente, com sinais descritos em linguagem leiga e canal de contato definido, é instrumento diagnóstico e não cortesia.</w:t>
            </w:r>
          </w:p>
        </w:tc>
      </w:tr>
    </w:tbl>
    <w:p>
      <w:pPr>
        <w:spacing w:after="80"/>
      </w:pPr>
    </w:p>
    <w:p>
      <w:pPr>
        <w:keepNext/>
        <w:spacing w:before="360" w:after="160"/>
        <w:jc w:val="left"/>
        <w:pBdr>
          <w:bottom w:val="single" w:sz="8" w:space="4" w:color="143C64"/>
        </w:pBdr>
      </w:pPr>
      <w:r>
        <w:rPr>
          <w:rFonts w:ascii="Calibri" w:hAnsi="Calibri"/>
          <w:b/>
          <w:color w:val="143C64"/>
          <w:sz w:val="30"/>
        </w:rPr>
        <w:t>3  Sinais de alerta por domínio</w:t>
      </w:r>
    </w:p>
    <w:p>
      <w:pPr>
        <w:spacing w:after="120"/>
        <w:jc w:val="both"/>
      </w:pPr>
      <w:r>
        <w:rPr>
          <w:rFonts w:ascii="Calibri" w:hAnsi="Calibri"/>
          <w:b w:val="0"/>
          <w:i w:val="0"/>
          <w:color w:val="1A1A1A"/>
          <w:sz w:val="24"/>
        </w:rPr>
        <w:t>A tabela abaixo é de consulta rápida. Ela não esgota as hipóteses e não substitui avaliação individual. A coluna de ação inicial indica a direção da resposta, cuja execução detalhada pertence ao POP correspondente.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981"/>
        <w:gridCol w:w="2556"/>
        <w:gridCol w:w="2124"/>
        <w:gridCol w:w="2412"/>
      </w:tblGrid>
      <w:tr>
        <w:trPr>
          <w:cantSplit/>
          <w:tblHeader/>
        </w:trPr>
        <w:tc>
          <w:tcPr>
            <w:tcW w:type="dxa" w:w="1981"/>
            <w:shd w:val="clear" w:color="auto" w:fill="143C64"/>
          </w:tcPr>
          <w:p>
            <w:pPr>
              <w:spacing w:after="0"/>
              <w:jc w:val="left"/>
            </w:pPr>
            <w:r/>
            <w:r>
              <w:rPr>
                <w:rFonts w:ascii="Calibri" w:hAnsi="Calibri"/>
                <w:b/>
                <w:color w:val="FFFFFF"/>
                <w:sz w:val="24"/>
              </w:rPr>
              <w:t>Domínio</w:t>
            </w:r>
          </w:p>
        </w:tc>
        <w:tc>
          <w:tcPr>
            <w:tcW w:type="dxa" w:w="2556"/>
            <w:shd w:val="clear" w:color="auto" w:fill="143C64"/>
          </w:tcPr>
          <w:p>
            <w:pPr>
              <w:spacing w:after="0"/>
              <w:jc w:val="left"/>
            </w:pPr>
            <w:r/>
            <w:r>
              <w:rPr>
                <w:rFonts w:ascii="Calibri" w:hAnsi="Calibri"/>
                <w:b/>
                <w:color w:val="FFFFFF"/>
                <w:sz w:val="24"/>
              </w:rPr>
              <w:t>Sinais e achados que exigem atenção</w:t>
            </w:r>
          </w:p>
        </w:tc>
        <w:tc>
          <w:tcPr>
            <w:tcW w:type="dxa" w:w="2124"/>
            <w:shd w:val="clear" w:color="auto" w:fill="143C64"/>
          </w:tcPr>
          <w:p>
            <w:pPr>
              <w:spacing w:after="0"/>
              <w:jc w:val="left"/>
            </w:pPr>
            <w:r/>
            <w:r>
              <w:rPr>
                <w:rFonts w:ascii="Calibri" w:hAnsi="Calibri"/>
                <w:b/>
                <w:color w:val="FFFFFF"/>
                <w:sz w:val="24"/>
              </w:rPr>
              <w:t>Tempo típico</w:t>
            </w:r>
          </w:p>
        </w:tc>
        <w:tc>
          <w:tcPr>
            <w:tcW w:type="dxa" w:w="2412"/>
            <w:shd w:val="clear" w:color="auto" w:fill="143C64"/>
          </w:tcPr>
          <w:p>
            <w:pPr>
              <w:spacing w:after="0"/>
              <w:jc w:val="left"/>
            </w:pPr>
            <w:r/>
            <w:r>
              <w:rPr>
                <w:rFonts w:ascii="Calibri" w:hAnsi="Calibri"/>
                <w:b/>
                <w:color w:val="FFFFFF"/>
                <w:sz w:val="24"/>
              </w:rPr>
              <w:t>Ação inicial</w:t>
            </w:r>
          </w:p>
        </w:tc>
      </w:tr>
      <w:tr>
        <w:trPr>
          <w:cantSplit/>
        </w:trPr>
        <w:tc>
          <w:tcPr>
            <w:tcW w:type="dxa" w:w="1981"/>
          </w:tcPr>
          <w:p>
            <w:pPr>
              <w:spacing w:after="0"/>
              <w:jc w:val="left"/>
            </w:pPr>
            <w:r/>
            <w:r>
              <w:rPr>
                <w:rFonts w:ascii="Calibri" w:hAnsi="Calibri"/>
                <w:b/>
                <w:color w:val="1A1A1A"/>
                <w:sz w:val="24"/>
              </w:rPr>
              <w:t>Vascular cutâneo</w:t>
            </w:r>
          </w:p>
        </w:tc>
        <w:tc>
          <w:tcPr>
            <w:tcW w:type="dxa" w:w="2556"/>
          </w:tcPr>
          <w:p>
            <w:pPr>
              <w:spacing w:after="0"/>
              <w:jc w:val="left"/>
            </w:pPr>
            <w:r/>
            <w:r>
              <w:rPr>
                <w:rFonts w:ascii="Calibri" w:hAnsi="Calibri"/>
                <w:b w:val="0"/>
                <w:color w:val="1A1A1A"/>
                <w:sz w:val="24"/>
              </w:rPr>
              <w:t>Dor desproporcional, palidez, livedo reticular, alteração progressiva de cor ou de perfusão.</w:t>
            </w:r>
          </w:p>
        </w:tc>
        <w:tc>
          <w:tcPr>
            <w:tcW w:type="dxa" w:w="2124"/>
          </w:tcPr>
          <w:p>
            <w:pPr>
              <w:spacing w:after="0"/>
              <w:jc w:val="left"/>
            </w:pPr>
            <w:r/>
            <w:r>
              <w:rPr>
                <w:rFonts w:ascii="Calibri" w:hAnsi="Calibri"/>
                <w:b w:val="0"/>
                <w:color w:val="1A1A1A"/>
                <w:sz w:val="24"/>
              </w:rPr>
              <w:t>Imediato a horas.</w:t>
            </w:r>
          </w:p>
        </w:tc>
        <w:tc>
          <w:tcPr>
            <w:tcW w:type="dxa" w:w="2412"/>
          </w:tcPr>
          <w:p>
            <w:pPr>
              <w:spacing w:after="0"/>
              <w:jc w:val="left"/>
            </w:pPr>
            <w:r/>
            <w:r>
              <w:rPr>
                <w:rFonts w:ascii="Calibri" w:hAnsi="Calibri"/>
                <w:b w:val="0"/>
                <w:color w:val="1A1A1A"/>
                <w:sz w:val="24"/>
              </w:rPr>
              <w:t>Interromper, registrar horário e aplicar o POP de manejo vascular.</w:t>
            </w:r>
          </w:p>
        </w:tc>
      </w:tr>
      <w:tr>
        <w:trPr>
          <w:cantSplit/>
        </w:trPr>
        <w:tc>
          <w:tcPr>
            <w:tcW w:type="dxa" w:w="1981"/>
            <w:shd w:val="clear" w:color="auto" w:fill="F2F5F8"/>
          </w:tcPr>
          <w:p>
            <w:pPr>
              <w:spacing w:after="0"/>
              <w:jc w:val="left"/>
            </w:pPr>
            <w:r/>
            <w:r>
              <w:rPr>
                <w:rFonts w:ascii="Calibri" w:hAnsi="Calibri"/>
                <w:b/>
                <w:color w:val="1A1A1A"/>
                <w:sz w:val="24"/>
              </w:rPr>
              <w:t>Visual e neurológico</w:t>
            </w:r>
          </w:p>
        </w:tc>
        <w:tc>
          <w:tcPr>
            <w:tcW w:type="dxa" w:w="2556"/>
            <w:shd w:val="clear" w:color="auto" w:fill="F2F5F8"/>
          </w:tcPr>
          <w:p>
            <w:pPr>
              <w:spacing w:after="0"/>
              <w:jc w:val="left"/>
            </w:pPr>
            <w:r/>
            <w:r>
              <w:rPr>
                <w:rFonts w:ascii="Calibri" w:hAnsi="Calibri"/>
                <w:b w:val="0"/>
                <w:color w:val="1A1A1A"/>
                <w:sz w:val="24"/>
              </w:rPr>
              <w:t>Dor ocular, alteração ou perda visual, ptose, oftalmoplegia, déficit neurológico ou sintomas de instalação abrupta.</w:t>
            </w:r>
          </w:p>
        </w:tc>
        <w:tc>
          <w:tcPr>
            <w:tcW w:type="dxa" w:w="2124"/>
            <w:shd w:val="clear" w:color="auto" w:fill="F2F5F8"/>
          </w:tcPr>
          <w:p>
            <w:pPr>
              <w:spacing w:after="0"/>
              <w:jc w:val="left"/>
            </w:pPr>
            <w:r/>
            <w:r>
              <w:rPr>
                <w:rFonts w:ascii="Calibri" w:hAnsi="Calibri"/>
                <w:b w:val="0"/>
                <w:color w:val="1A1A1A"/>
                <w:sz w:val="24"/>
              </w:rPr>
              <w:t>Habitualmente imediato.</w:t>
            </w:r>
          </w:p>
        </w:tc>
        <w:tc>
          <w:tcPr>
            <w:tcW w:type="dxa" w:w="2412"/>
            <w:shd w:val="clear" w:color="auto" w:fill="F2F5F8"/>
          </w:tcPr>
          <w:p>
            <w:pPr>
              <w:spacing w:after="0"/>
              <w:jc w:val="left"/>
            </w:pPr>
            <w:r/>
            <w:r>
              <w:rPr>
                <w:rFonts w:ascii="Calibri" w:hAnsi="Calibri"/>
                <w:b w:val="0"/>
                <w:color w:val="1A1A1A"/>
                <w:sz w:val="24"/>
              </w:rPr>
              <w:t>Encaminhamento de urgência imediato, sem aguardar exame ou evolução.</w:t>
            </w:r>
          </w:p>
        </w:tc>
      </w:tr>
      <w:tr>
        <w:trPr>
          <w:cantSplit/>
        </w:trPr>
        <w:tc>
          <w:tcPr>
            <w:tcW w:type="dxa" w:w="1981"/>
          </w:tcPr>
          <w:p>
            <w:pPr>
              <w:spacing w:after="0"/>
              <w:jc w:val="left"/>
            </w:pPr>
            <w:r/>
            <w:r>
              <w:rPr>
                <w:rFonts w:ascii="Calibri" w:hAnsi="Calibri"/>
                <w:b/>
                <w:color w:val="1A1A1A"/>
                <w:sz w:val="24"/>
              </w:rPr>
              <w:t>Sistêmico</w:t>
            </w:r>
          </w:p>
        </w:tc>
        <w:tc>
          <w:tcPr>
            <w:tcW w:type="dxa" w:w="2556"/>
          </w:tcPr>
          <w:p>
            <w:pPr>
              <w:spacing w:after="0"/>
              <w:jc w:val="left"/>
            </w:pPr>
            <w:r/>
            <w:r>
              <w:rPr>
                <w:rFonts w:ascii="Calibri" w:hAnsi="Calibri"/>
                <w:b w:val="0"/>
                <w:color w:val="1A1A1A"/>
                <w:sz w:val="24"/>
              </w:rPr>
              <w:t>Dispneia, alteração do nível de consciência, sinais de anafilaxia, instabilidade hemodinâmica.</w:t>
            </w:r>
          </w:p>
        </w:tc>
        <w:tc>
          <w:tcPr>
            <w:tcW w:type="dxa" w:w="2124"/>
          </w:tcPr>
          <w:p>
            <w:pPr>
              <w:spacing w:after="0"/>
              <w:jc w:val="left"/>
            </w:pPr>
            <w:r/>
            <w:r>
              <w:rPr>
                <w:rFonts w:ascii="Calibri" w:hAnsi="Calibri"/>
                <w:b w:val="0"/>
                <w:color w:val="1A1A1A"/>
                <w:sz w:val="24"/>
              </w:rPr>
              <w:t>Minutos.</w:t>
            </w:r>
          </w:p>
        </w:tc>
        <w:tc>
          <w:tcPr>
            <w:tcW w:type="dxa" w:w="2412"/>
          </w:tcPr>
          <w:p>
            <w:pPr>
              <w:spacing w:after="0"/>
              <w:jc w:val="left"/>
            </w:pPr>
            <w:r/>
            <w:r>
              <w:rPr>
                <w:rFonts w:ascii="Calibri" w:hAnsi="Calibri"/>
                <w:b w:val="0"/>
                <w:color w:val="1A1A1A"/>
                <w:sz w:val="24"/>
              </w:rPr>
              <w:t>Acionar emergência e adotar suporte compatível com capacitação e recursos.</w:t>
            </w:r>
          </w:p>
        </w:tc>
      </w:tr>
      <w:tr>
        <w:trPr>
          <w:cantSplit/>
        </w:trPr>
        <w:tc>
          <w:tcPr>
            <w:tcW w:type="dxa" w:w="1981"/>
            <w:shd w:val="clear" w:color="auto" w:fill="F2F5F8"/>
          </w:tcPr>
          <w:p>
            <w:pPr>
              <w:spacing w:after="0"/>
              <w:jc w:val="left"/>
            </w:pPr>
            <w:r/>
            <w:r>
              <w:rPr>
                <w:rFonts w:ascii="Calibri" w:hAnsi="Calibri"/>
                <w:b/>
                <w:color w:val="1A1A1A"/>
                <w:sz w:val="24"/>
              </w:rPr>
              <w:t>Térmico e por energia</w:t>
            </w:r>
          </w:p>
        </w:tc>
        <w:tc>
          <w:tcPr>
            <w:tcW w:type="dxa" w:w="2556"/>
            <w:shd w:val="clear" w:color="auto" w:fill="F2F5F8"/>
          </w:tcPr>
          <w:p>
            <w:pPr>
              <w:spacing w:after="0"/>
              <w:jc w:val="left"/>
            </w:pPr>
            <w:r/>
            <w:r>
              <w:rPr>
                <w:rFonts w:ascii="Calibri" w:hAnsi="Calibri"/>
                <w:b w:val="0"/>
                <w:color w:val="1A1A1A"/>
                <w:sz w:val="24"/>
              </w:rPr>
              <w:t>Dor intensa, queimadura, bolha, alteração cutânea fora do esperado durante ou após aplicação de energia.</w:t>
            </w:r>
          </w:p>
        </w:tc>
        <w:tc>
          <w:tcPr>
            <w:tcW w:type="dxa" w:w="2124"/>
            <w:shd w:val="clear" w:color="auto" w:fill="F2F5F8"/>
          </w:tcPr>
          <w:p>
            <w:pPr>
              <w:spacing w:after="0"/>
              <w:jc w:val="left"/>
            </w:pPr>
            <w:r/>
            <w:r>
              <w:rPr>
                <w:rFonts w:ascii="Calibri" w:hAnsi="Calibri"/>
                <w:b w:val="0"/>
                <w:color w:val="1A1A1A"/>
                <w:sz w:val="24"/>
              </w:rPr>
              <w:t>Durante ou logo após.</w:t>
            </w:r>
          </w:p>
        </w:tc>
        <w:tc>
          <w:tcPr>
            <w:tcW w:type="dxa" w:w="2412"/>
            <w:shd w:val="clear" w:color="auto" w:fill="F2F5F8"/>
          </w:tcPr>
          <w:p>
            <w:pPr>
              <w:spacing w:after="0"/>
              <w:jc w:val="left"/>
            </w:pPr>
            <w:r/>
            <w:r>
              <w:rPr>
                <w:rFonts w:ascii="Calibri" w:hAnsi="Calibri"/>
                <w:b w:val="0"/>
                <w:color w:val="1A1A1A"/>
                <w:sz w:val="24"/>
              </w:rPr>
              <w:t>Interromper a energia, verificar parâmetros e equipamento, seguir POP do evento.</w:t>
            </w:r>
          </w:p>
        </w:tc>
      </w:tr>
      <w:tr>
        <w:trPr>
          <w:cantSplit/>
        </w:trPr>
        <w:tc>
          <w:tcPr>
            <w:tcW w:type="dxa" w:w="1981"/>
          </w:tcPr>
          <w:p>
            <w:pPr>
              <w:spacing w:after="0"/>
              <w:jc w:val="left"/>
            </w:pPr>
            <w:r/>
            <w:r>
              <w:rPr>
                <w:rFonts w:ascii="Calibri" w:hAnsi="Calibri"/>
                <w:b/>
                <w:color w:val="1A1A1A"/>
                <w:sz w:val="24"/>
              </w:rPr>
              <w:t>Infeccioso e inflamatório</w:t>
            </w:r>
          </w:p>
        </w:tc>
        <w:tc>
          <w:tcPr>
            <w:tcW w:type="dxa" w:w="2556"/>
          </w:tcPr>
          <w:p>
            <w:pPr>
              <w:spacing w:after="0"/>
              <w:jc w:val="left"/>
            </w:pPr>
            <w:r/>
            <w:r>
              <w:rPr>
                <w:rFonts w:ascii="Calibri" w:hAnsi="Calibri"/>
                <w:b w:val="0"/>
                <w:color w:val="1A1A1A"/>
                <w:sz w:val="24"/>
              </w:rPr>
              <w:t>Eritema progressivo, calor, dor persistente, secreção, nódulo inflamatório, sintomas sistêmicos.</w:t>
            </w:r>
          </w:p>
        </w:tc>
        <w:tc>
          <w:tcPr>
            <w:tcW w:type="dxa" w:w="2124"/>
          </w:tcPr>
          <w:p>
            <w:pPr>
              <w:spacing w:after="0"/>
              <w:jc w:val="left"/>
            </w:pPr>
            <w:r/>
            <w:r>
              <w:rPr>
                <w:rFonts w:ascii="Calibri" w:hAnsi="Calibri"/>
                <w:b w:val="0"/>
                <w:color w:val="1A1A1A"/>
                <w:sz w:val="24"/>
              </w:rPr>
              <w:t>Dias a meses.</w:t>
            </w:r>
          </w:p>
        </w:tc>
        <w:tc>
          <w:tcPr>
            <w:tcW w:type="dxa" w:w="2412"/>
          </w:tcPr>
          <w:p>
            <w:pPr>
              <w:spacing w:after="0"/>
              <w:jc w:val="left"/>
            </w:pPr>
            <w:r/>
            <w:r>
              <w:rPr>
                <w:rFonts w:ascii="Calibri" w:hAnsi="Calibri"/>
                <w:b w:val="0"/>
                <w:color w:val="1A1A1A"/>
                <w:sz w:val="24"/>
              </w:rPr>
              <w:t>Avaliar, documentar e conduzir ou encaminhar conforme hipótese e gravidade.</w:t>
            </w:r>
          </w:p>
        </w:tc>
      </w:tr>
      <w:tr>
        <w:trPr>
          <w:cantSplit/>
        </w:trPr>
        <w:tc>
          <w:tcPr>
            <w:tcW w:type="dxa" w:w="1981"/>
            <w:shd w:val="clear" w:color="auto" w:fill="F2F5F8"/>
          </w:tcPr>
          <w:p>
            <w:pPr>
              <w:spacing w:after="0"/>
              <w:jc w:val="left"/>
            </w:pPr>
            <w:r/>
            <w:r>
              <w:rPr>
                <w:rFonts w:ascii="Calibri" w:hAnsi="Calibri"/>
                <w:b/>
                <w:color w:val="1A1A1A"/>
                <w:sz w:val="24"/>
              </w:rPr>
              <w:t>Hemorrágico</w:t>
            </w:r>
          </w:p>
        </w:tc>
        <w:tc>
          <w:tcPr>
            <w:tcW w:type="dxa" w:w="2556"/>
            <w:shd w:val="clear" w:color="auto" w:fill="F2F5F8"/>
          </w:tcPr>
          <w:p>
            <w:pPr>
              <w:spacing w:after="0"/>
              <w:jc w:val="left"/>
            </w:pPr>
            <w:r/>
            <w:r>
              <w:rPr>
                <w:rFonts w:ascii="Calibri" w:hAnsi="Calibri"/>
                <w:b w:val="0"/>
                <w:color w:val="1A1A1A"/>
                <w:sz w:val="24"/>
              </w:rPr>
              <w:t>Sangramento persistente, hematoma expansivo.</w:t>
            </w:r>
          </w:p>
        </w:tc>
        <w:tc>
          <w:tcPr>
            <w:tcW w:type="dxa" w:w="2124"/>
            <w:shd w:val="clear" w:color="auto" w:fill="F2F5F8"/>
          </w:tcPr>
          <w:p>
            <w:pPr>
              <w:spacing w:after="0"/>
              <w:jc w:val="left"/>
            </w:pPr>
            <w:r/>
            <w:r>
              <w:rPr>
                <w:rFonts w:ascii="Calibri" w:hAnsi="Calibri"/>
                <w:b w:val="0"/>
                <w:color w:val="1A1A1A"/>
                <w:sz w:val="24"/>
              </w:rPr>
              <w:t>Imediato a horas.</w:t>
            </w:r>
          </w:p>
        </w:tc>
        <w:tc>
          <w:tcPr>
            <w:tcW w:type="dxa" w:w="2412"/>
            <w:shd w:val="clear" w:color="auto" w:fill="F2F5F8"/>
          </w:tcPr>
          <w:p>
            <w:pPr>
              <w:spacing w:after="0"/>
              <w:jc w:val="left"/>
            </w:pPr>
            <w:r/>
            <w:r>
              <w:rPr>
                <w:rFonts w:ascii="Calibri" w:hAnsi="Calibri"/>
                <w:b w:val="0"/>
                <w:color w:val="1A1A1A"/>
                <w:sz w:val="24"/>
              </w:rPr>
              <w:t>Interromper, controlar localmente e avaliar encaminhamento.</w:t>
            </w:r>
          </w:p>
        </w:tc>
      </w:tr>
    </w:tbl>
    <w:p>
      <w:r>
        <w:br w:type="page"/>
      </w:r>
    </w:p>
    <w:p>
      <w:pPr>
        <w:keepNext/>
        <w:spacing w:before="360" w:after="160"/>
        <w:jc w:val="left"/>
        <w:pBdr>
          <w:bottom w:val="single" w:sz="8" w:space="4" w:color="143C64"/>
        </w:pBdr>
      </w:pPr>
      <w:r>
        <w:rPr>
          <w:rFonts w:ascii="Calibri" w:hAnsi="Calibri"/>
          <w:b/>
          <w:color w:val="143C64"/>
          <w:sz w:val="30"/>
        </w:rPr>
        <w:t>4  Classificação temporal do evento vascular</w:t>
      </w:r>
    </w:p>
    <w:p>
      <w:pPr>
        <w:spacing w:after="120"/>
        <w:jc w:val="both"/>
      </w:pPr>
      <w:r>
        <w:rPr>
          <w:rFonts w:ascii="Calibri" w:hAnsi="Calibri"/>
          <w:b w:val="0"/>
          <w:i w:val="0"/>
          <w:color w:val="1A1A1A"/>
          <w:sz w:val="24"/>
        </w:rPr>
        <w:t>EVIDÊNCIA CIENTÍFICA. Revisão conduzida segundo PRISMA 2020 sobre oclusão vascular por preenchedores com envolvimento neuro-oftálmico propõe classificação temporal em apresentações fulminante, imediata e tardia, com implicações prognósticas distintas, e descreve que eventos embólicos podem ocorrer imediatamente, por injeção intra-arterial direta, ou mais tarde, por fragmentação e migração do êmbolo. Limitação: literatura predominantemente composta por relatos e séries, sujeita a viés de publicação, e originada da prática médica.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Por que a classificação temporal importa na prática</w:t>
            </w:r>
          </w:p>
          <w:p>
            <w:pPr>
              <w:spacing w:after="0"/>
              <w:jc w:val="both"/>
            </w:pPr>
            <w:r>
              <w:rPr>
                <w:rFonts w:ascii="Calibri" w:hAnsi="Calibri"/>
                <w:color w:val="1A1A1A"/>
                <w:sz w:val="24"/>
              </w:rPr>
              <w:t>Se o profissional espera que toda intercorrência vascular apareça durante o procedimento, deixará de reconhecer as formas tardias, que se manifestam quando o paciente já saiu do consultório. É essa possibilidade que torna obrigatórios a orientação escrita, o canal de contato e o seguimento ativo.</w:t>
            </w:r>
          </w:p>
        </w:tc>
      </w:tr>
    </w:tbl>
    <w:p>
      <w:pPr>
        <w:spacing w:after="80"/>
      </w:pPr>
    </w:p>
    <w:p>
      <w:pPr>
        <w:keepNext/>
        <w:spacing w:before="360" w:after="160"/>
        <w:jc w:val="left"/>
        <w:pBdr>
          <w:bottom w:val="single" w:sz="8" w:space="4" w:color="143C64"/>
        </w:pBdr>
      </w:pPr>
      <w:r>
        <w:rPr>
          <w:rFonts w:ascii="Calibri" w:hAnsi="Calibri"/>
          <w:b/>
          <w:color w:val="143C64"/>
          <w:sz w:val="30"/>
        </w:rPr>
        <w:t>5  Critérios de gravidade e limiar de encaminhamento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77"/>
        <w:gridCol w:w="3104"/>
        <w:gridCol w:w="3092"/>
      </w:tblGrid>
      <w:tr>
        <w:trPr>
          <w:cantSplit/>
          <w:tblHeader/>
        </w:trPr>
        <w:tc>
          <w:tcPr>
            <w:tcW w:type="dxa" w:w="2877"/>
            <w:shd w:val="clear" w:color="auto" w:fill="143C64"/>
          </w:tcPr>
          <w:p>
            <w:pPr>
              <w:spacing w:after="0"/>
              <w:jc w:val="left"/>
            </w:pPr>
            <w:r/>
            <w:r>
              <w:rPr>
                <w:rFonts w:ascii="Calibri" w:hAnsi="Calibri"/>
                <w:b/>
                <w:color w:val="FFFFFF"/>
                <w:sz w:val="24"/>
              </w:rPr>
              <w:t>Nível</w:t>
            </w:r>
          </w:p>
        </w:tc>
        <w:tc>
          <w:tcPr>
            <w:tcW w:type="dxa" w:w="3104"/>
            <w:shd w:val="clear" w:color="auto" w:fill="143C64"/>
          </w:tcPr>
          <w:p>
            <w:pPr>
              <w:spacing w:after="0"/>
              <w:jc w:val="left"/>
            </w:pPr>
            <w:r/>
            <w:r>
              <w:rPr>
                <w:rFonts w:ascii="Calibri" w:hAnsi="Calibri"/>
                <w:b/>
                <w:color w:val="FFFFFF"/>
                <w:sz w:val="24"/>
              </w:rPr>
              <w:t>Critério</w:t>
            </w:r>
          </w:p>
        </w:tc>
        <w:tc>
          <w:tcPr>
            <w:tcW w:type="dxa" w:w="3092"/>
            <w:shd w:val="clear" w:color="auto" w:fill="143C64"/>
          </w:tcPr>
          <w:p>
            <w:pPr>
              <w:spacing w:after="0"/>
              <w:jc w:val="left"/>
            </w:pPr>
            <w:r/>
            <w:r>
              <w:rPr>
                <w:rFonts w:ascii="Calibri" w:hAnsi="Calibri"/>
                <w:b/>
                <w:color w:val="FFFFFF"/>
                <w:sz w:val="24"/>
              </w:rPr>
              <w:t>Conduta</w:t>
            </w:r>
          </w:p>
        </w:tc>
      </w:tr>
      <w:tr>
        <w:trPr>
          <w:cantSplit/>
        </w:trPr>
        <w:tc>
          <w:tcPr>
            <w:tcW w:type="dxa" w:w="2877"/>
          </w:tcPr>
          <w:p>
            <w:pPr>
              <w:spacing w:after="0"/>
              <w:jc w:val="left"/>
            </w:pPr>
            <w:r/>
            <w:r>
              <w:rPr>
                <w:rFonts w:ascii="Calibri" w:hAnsi="Calibri"/>
                <w:b/>
                <w:color w:val="1A1A1A"/>
                <w:sz w:val="24"/>
              </w:rPr>
              <w:t>Emergência</w:t>
            </w:r>
          </w:p>
        </w:tc>
        <w:tc>
          <w:tcPr>
            <w:tcW w:type="dxa" w:w="3104"/>
          </w:tcPr>
          <w:p>
            <w:pPr>
              <w:spacing w:after="0"/>
              <w:jc w:val="left"/>
            </w:pPr>
            <w:r/>
            <w:r>
              <w:rPr>
                <w:rFonts w:ascii="Calibri" w:hAnsi="Calibri"/>
                <w:b w:val="0"/>
                <w:color w:val="1A1A1A"/>
                <w:sz w:val="24"/>
              </w:rPr>
              <w:t>Ameaça visual, déficit neurológico, instabilidade sistêmica ou anafilaxia.</w:t>
            </w:r>
          </w:p>
        </w:tc>
        <w:tc>
          <w:tcPr>
            <w:tcW w:type="dxa" w:w="3092"/>
          </w:tcPr>
          <w:p>
            <w:pPr>
              <w:spacing w:after="0"/>
              <w:jc w:val="left"/>
            </w:pPr>
            <w:r/>
            <w:r>
              <w:rPr>
                <w:rFonts w:ascii="Calibri" w:hAnsi="Calibri"/>
                <w:b w:val="0"/>
                <w:color w:val="1A1A1A"/>
                <w:sz w:val="24"/>
              </w:rPr>
              <w:t>Encaminhamento imediato e suporte. Nenhum exame justifica atraso.</w:t>
            </w:r>
          </w:p>
        </w:tc>
      </w:tr>
      <w:tr>
        <w:trPr>
          <w:cantSplit/>
        </w:trPr>
        <w:tc>
          <w:tcPr>
            <w:tcW w:type="dxa" w:w="2877"/>
            <w:shd w:val="clear" w:color="auto" w:fill="F2F5F8"/>
          </w:tcPr>
          <w:p>
            <w:pPr>
              <w:spacing w:after="0"/>
              <w:jc w:val="left"/>
            </w:pPr>
            <w:r/>
            <w:r>
              <w:rPr>
                <w:rFonts w:ascii="Calibri" w:hAnsi="Calibri"/>
                <w:b/>
                <w:color w:val="1A1A1A"/>
                <w:sz w:val="24"/>
              </w:rPr>
              <w:t>Urgência</w:t>
            </w:r>
          </w:p>
        </w:tc>
        <w:tc>
          <w:tcPr>
            <w:tcW w:type="dxa" w:w="3104"/>
            <w:shd w:val="clear" w:color="auto" w:fill="F2F5F8"/>
          </w:tcPr>
          <w:p>
            <w:pPr>
              <w:spacing w:after="0"/>
              <w:jc w:val="left"/>
            </w:pPr>
            <w:r/>
            <w:r>
              <w:rPr>
                <w:rFonts w:ascii="Calibri" w:hAnsi="Calibri"/>
                <w:b w:val="0"/>
                <w:color w:val="1A1A1A"/>
                <w:sz w:val="24"/>
              </w:rPr>
              <w:t>Suspeita de comprometimento vascular cutâneo em evolução, hematoma expansivo, queimadura extensa.</w:t>
            </w:r>
          </w:p>
        </w:tc>
        <w:tc>
          <w:tcPr>
            <w:tcW w:type="dxa" w:w="3092"/>
            <w:shd w:val="clear" w:color="auto" w:fill="F2F5F8"/>
          </w:tcPr>
          <w:p>
            <w:pPr>
              <w:spacing w:after="0"/>
              <w:jc w:val="left"/>
            </w:pPr>
            <w:r/>
            <w:r>
              <w:rPr>
                <w:rFonts w:ascii="Calibri" w:hAnsi="Calibri"/>
                <w:b w:val="0"/>
                <w:color w:val="1A1A1A"/>
                <w:sz w:val="24"/>
              </w:rPr>
              <w:t>Conduta imediata conforme POP, com limiar baixo para encaminhamento.</w:t>
            </w:r>
          </w:p>
        </w:tc>
      </w:tr>
      <w:tr>
        <w:trPr>
          <w:cantSplit/>
        </w:trPr>
        <w:tc>
          <w:tcPr>
            <w:tcW w:type="dxa" w:w="2877"/>
          </w:tcPr>
          <w:p>
            <w:pPr>
              <w:spacing w:after="0"/>
              <w:jc w:val="left"/>
            </w:pPr>
            <w:r/>
            <w:r>
              <w:rPr>
                <w:rFonts w:ascii="Calibri" w:hAnsi="Calibri"/>
                <w:b/>
                <w:color w:val="1A1A1A"/>
                <w:sz w:val="24"/>
              </w:rPr>
              <w:t>Prioritário</w:t>
            </w:r>
          </w:p>
        </w:tc>
        <w:tc>
          <w:tcPr>
            <w:tcW w:type="dxa" w:w="3104"/>
          </w:tcPr>
          <w:p>
            <w:pPr>
              <w:spacing w:after="0"/>
              <w:jc w:val="left"/>
            </w:pPr>
            <w:r/>
            <w:r>
              <w:rPr>
                <w:rFonts w:ascii="Calibri" w:hAnsi="Calibri"/>
                <w:b w:val="0"/>
                <w:color w:val="1A1A1A"/>
                <w:sz w:val="24"/>
              </w:rPr>
              <w:t>Sinais inflamatórios ou infecciosos progressivos, dor persistente sem explicação.</w:t>
            </w:r>
          </w:p>
        </w:tc>
        <w:tc>
          <w:tcPr>
            <w:tcW w:type="dxa" w:w="3092"/>
          </w:tcPr>
          <w:p>
            <w:pPr>
              <w:spacing w:after="0"/>
              <w:jc w:val="left"/>
            </w:pPr>
            <w:r/>
            <w:r>
              <w:rPr>
                <w:rFonts w:ascii="Calibri" w:hAnsi="Calibri"/>
                <w:b w:val="0"/>
                <w:color w:val="1A1A1A"/>
                <w:sz w:val="24"/>
              </w:rPr>
              <w:t>Avaliação em curto prazo, documentação e reavaliação programada.</w:t>
            </w:r>
          </w:p>
        </w:tc>
      </w:tr>
      <w:tr>
        <w:trPr>
          <w:cantSplit/>
        </w:trPr>
        <w:tc>
          <w:tcPr>
            <w:tcW w:type="dxa" w:w="2877"/>
            <w:shd w:val="clear" w:color="auto" w:fill="F2F5F8"/>
          </w:tcPr>
          <w:p>
            <w:pPr>
              <w:spacing w:after="0"/>
              <w:jc w:val="left"/>
            </w:pPr>
            <w:r/>
            <w:r>
              <w:rPr>
                <w:rFonts w:ascii="Calibri" w:hAnsi="Calibri"/>
                <w:b/>
                <w:color w:val="1A1A1A"/>
                <w:sz w:val="24"/>
              </w:rPr>
              <w:t>Acompanhamento</w:t>
            </w:r>
          </w:p>
        </w:tc>
        <w:tc>
          <w:tcPr>
            <w:tcW w:type="dxa" w:w="3104"/>
            <w:shd w:val="clear" w:color="auto" w:fill="F2F5F8"/>
          </w:tcPr>
          <w:p>
            <w:pPr>
              <w:spacing w:after="0"/>
              <w:jc w:val="left"/>
            </w:pPr>
            <w:r/>
            <w:r>
              <w:rPr>
                <w:rFonts w:ascii="Calibri" w:hAnsi="Calibri"/>
                <w:b w:val="0"/>
                <w:color w:val="1A1A1A"/>
                <w:sz w:val="24"/>
              </w:rPr>
              <w:t>Evento previsto e autolimitado, dentro da evolução esperada e informada previamente.</w:t>
            </w:r>
          </w:p>
        </w:tc>
        <w:tc>
          <w:tcPr>
            <w:tcW w:type="dxa" w:w="3092"/>
            <w:shd w:val="clear" w:color="auto" w:fill="F2F5F8"/>
          </w:tcPr>
          <w:p>
            <w:pPr>
              <w:spacing w:after="0"/>
              <w:jc w:val="left"/>
            </w:pPr>
            <w:r/>
            <w:r>
              <w:rPr>
                <w:rFonts w:ascii="Calibri" w:hAnsi="Calibri"/>
                <w:b w:val="0"/>
                <w:color w:val="1A1A1A"/>
                <w:sz w:val="24"/>
              </w:rPr>
              <w:t>Registro, orientação e seguimento conforme o procedimento.</w:t>
            </w:r>
          </w:p>
        </w:tc>
      </w:tr>
    </w:tbl>
    <w:p>
      <w:pPr>
        <w:keepNext/>
        <w:spacing w:before="360" w:after="160"/>
        <w:jc w:val="left"/>
        <w:pBdr>
          <w:bottom w:val="single" w:sz="8" w:space="4" w:color="143C64"/>
        </w:pBdr>
      </w:pPr>
      <w:r>
        <w:rPr>
          <w:rFonts w:ascii="Calibri" w:hAnsi="Calibri"/>
          <w:b/>
          <w:color w:val="143C64"/>
          <w:sz w:val="30"/>
        </w:rPr>
        <w:t>6  Ultrassonografia e prática guiada por imagem</w:t>
      </w:r>
    </w:p>
    <w:p>
      <w:pPr>
        <w:spacing w:after="120"/>
        <w:jc w:val="both"/>
      </w:pPr>
      <w:r>
        <w:rPr>
          <w:rFonts w:ascii="Calibri" w:hAnsi="Calibri"/>
          <w:b w:val="0"/>
          <w:i w:val="0"/>
          <w:color w:val="1A1A1A"/>
          <w:sz w:val="24"/>
        </w:rPr>
        <w:t>A documentação-base do Núcleo sustenta formulação prudente: a ultrassonografia de alta frequência com Doppler é recurso de elevado valor agregado, com aplicações bem sustentadas em situações específicas, incluindo a avaliação de material previamente injetado e o apoio ao manejo de intercorrências vasculares. O Núcleo não deve utilizar de forma genérica a expressão padrão-ouro para todas as aplicações, porque isso ultrapassa o grau de consolidação uniforme da evidência e pode criar efeito normativo indevido.</w:t>
      </w:r>
    </w:p>
    <w:p>
      <w:pPr>
        <w:spacing w:after="120"/>
        <w:jc w:val="both"/>
      </w:pPr>
      <w:r>
        <w:rPr>
          <w:rFonts w:ascii="Calibri" w:hAnsi="Calibri"/>
          <w:b w:val="0"/>
          <w:i w:val="0"/>
          <w:color w:val="1A1A1A"/>
          <w:sz w:val="24"/>
        </w:rPr>
        <w:t>EVIDÊNCIA CIENTÍFICA. A revisão sistemática sobre oclusão vascular de envolvimento exclusivamente cutâneo relata que a orientação por ultrassonografia reduziu de forma expressiva a dose de hialuronidase necessária no manejo descrito. Esse achado sustenta o valor da imagem como apoio, e não como requisito universal de procedimento.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Formulação institucional adotada</w:t>
            </w:r>
          </w:p>
          <w:p>
            <w:pPr>
              <w:spacing w:after="0"/>
              <w:jc w:val="both"/>
            </w:pPr>
            <w:r>
              <w:rPr>
                <w:rFonts w:ascii="Calibri" w:hAnsi="Calibri"/>
                <w:color w:val="1A1A1A"/>
                <w:sz w:val="24"/>
              </w:rPr>
              <w:t>A prática guiada por imagem é estimulada como recurso de qualificação diagnóstica e terapêutica, com indicação e capacitação adequadas. Não se estabelece por este documento dever de uso cuja exigibilidade não esteja normativamente prevista, nem se admite que a espera por imagem retarde resposta de urgência.</w:t>
            </w:r>
          </w:p>
        </w:tc>
      </w:tr>
    </w:tbl>
    <w:p>
      <w:pPr>
        <w:spacing w:after="80"/>
      </w:pPr>
    </w:p>
    <w:p>
      <w:pPr>
        <w:keepNext/>
        <w:spacing w:before="240" w:after="80"/>
        <w:jc w:val="left"/>
      </w:pPr>
      <w:r>
        <w:rPr>
          <w:rFonts w:ascii="Calibri" w:hAnsi="Calibri"/>
          <w:b/>
          <w:color w:val="143C64"/>
          <w:sz w:val="26"/>
        </w:rPr>
        <w:t>6.1  Elastografia</w:t>
      </w:r>
    </w:p>
    <w:p>
      <w:pPr>
        <w:spacing w:after="120"/>
        <w:jc w:val="both"/>
      </w:pPr>
      <w:r>
        <w:rPr>
          <w:rFonts w:ascii="Calibri" w:hAnsi="Calibri"/>
          <w:b w:val="0"/>
          <w:i w:val="0"/>
          <w:color w:val="1A1A1A"/>
          <w:sz w:val="24"/>
        </w:rPr>
        <w:t>EVIDÊNCIA CIENTÍFICA, com escopo estreito. Estudo transversal com cinquenta e sete participantes do sexo feminino, entre quarenta e sessenta e sete anos, avaliou a reprodutibilidade intraobservador da elastografia por onda de cisalhamento na pele facial, obtendo coeficientes de correlação intraclasse elevados para derme, tecido subcutâneo e sistema músculo-aponeurótico superficial. Limitação decisiva: reprodutibilidade de medida não equivale a validação diagnóstica. O estudo não sustenta uso da elastografia para diagnóstico de fibrose, granuloma ou intercorrências em geral. Classificação institucional: tecnologia promissora em avaliação, sem recomendação de uso diagnóstico rotineiro.</w:t>
      </w:r>
    </w:p>
    <w:p>
      <w:pPr>
        <w:keepNext/>
        <w:spacing w:before="240" w:after="80"/>
        <w:jc w:val="left"/>
      </w:pPr>
      <w:r>
        <w:rPr>
          <w:rFonts w:ascii="Calibri" w:hAnsi="Calibri"/>
          <w:b/>
          <w:color w:val="143C64"/>
          <w:sz w:val="26"/>
        </w:rPr>
        <w:t>6.2  Termografia</w:t>
      </w:r>
    </w:p>
    <w:p>
      <w:pPr>
        <w:spacing w:after="120"/>
        <w:jc w:val="both"/>
      </w:pPr>
      <w:r>
        <w:rPr>
          <w:rFonts w:ascii="Calibri" w:hAnsi="Calibri"/>
          <w:b w:val="0"/>
          <w:i w:val="0"/>
          <w:color w:val="1A1A1A"/>
          <w:sz w:val="24"/>
        </w:rPr>
        <w:t>PENDÊNCIA INSTITUCIONAL. Permanece em monitoramento de horizonte no recorte específico de Harmonização Orofacial, conforme a busca descrita no protocolo de levantamento. Não há, no material verificado, base para recomendação de uso rotineiro. Ausência de literatura consolidada não equivale a demonstração de ineficácia, e tampouco autoriza recomendação.</w:t>
      </w:r>
    </w:p>
    <w:p>
      <w:r>
        <w:br w:type="page"/>
      </w:r>
    </w:p>
    <w:p>
      <w:pPr>
        <w:keepNext/>
        <w:spacing w:before="360" w:after="160"/>
        <w:jc w:val="left"/>
        <w:pBdr>
          <w:bottom w:val="single" w:sz="8" w:space="4" w:color="143C64"/>
        </w:pBdr>
      </w:pPr>
      <w:r>
        <w:rPr>
          <w:rFonts w:ascii="Calibri" w:hAnsi="Calibri"/>
          <w:b/>
          <w:color w:val="143C64"/>
          <w:sz w:val="30"/>
        </w:rPr>
        <w:t>7  Orientação e acompanhamento do paciente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807"/>
        <w:gridCol w:w="3385"/>
        <w:gridCol w:w="2880"/>
      </w:tblGrid>
      <w:tr>
        <w:trPr>
          <w:cantSplit/>
          <w:tblHeader/>
        </w:trPr>
        <w:tc>
          <w:tcPr>
            <w:tcW w:type="dxa" w:w="2807"/>
            <w:shd w:val="clear" w:color="auto" w:fill="143C64"/>
          </w:tcPr>
          <w:p>
            <w:pPr>
              <w:spacing w:after="0"/>
              <w:jc w:val="left"/>
            </w:pPr>
            <w:r/>
            <w:r>
              <w:rPr>
                <w:rFonts w:ascii="Calibri" w:hAnsi="Calibri"/>
                <w:b/>
                <w:color w:val="FFFFFF"/>
                <w:sz w:val="24"/>
              </w:rPr>
              <w:t>Momento</w:t>
            </w:r>
          </w:p>
        </w:tc>
        <w:tc>
          <w:tcPr>
            <w:tcW w:type="dxa" w:w="3385"/>
            <w:shd w:val="clear" w:color="auto" w:fill="143C64"/>
          </w:tcPr>
          <w:p>
            <w:pPr>
              <w:spacing w:after="0"/>
              <w:jc w:val="left"/>
            </w:pPr>
            <w:r/>
            <w:r>
              <w:rPr>
                <w:rFonts w:ascii="Calibri" w:hAnsi="Calibri"/>
                <w:b/>
                <w:color w:val="FFFFFF"/>
                <w:sz w:val="24"/>
              </w:rPr>
              <w:t>Instrumento</w:t>
            </w:r>
          </w:p>
        </w:tc>
        <w:tc>
          <w:tcPr>
            <w:tcW w:type="dxa" w:w="2880"/>
            <w:shd w:val="clear" w:color="auto" w:fill="143C64"/>
          </w:tcPr>
          <w:p>
            <w:pPr>
              <w:spacing w:after="0"/>
              <w:jc w:val="left"/>
            </w:pPr>
            <w:r/>
            <w:r>
              <w:rPr>
                <w:rFonts w:ascii="Calibri" w:hAnsi="Calibri"/>
                <w:b/>
                <w:color w:val="FFFFFF"/>
                <w:sz w:val="24"/>
              </w:rPr>
              <w:t>Conteúdo mínimo</w:t>
            </w:r>
          </w:p>
        </w:tc>
      </w:tr>
      <w:tr>
        <w:trPr>
          <w:cantSplit/>
        </w:trPr>
        <w:tc>
          <w:tcPr>
            <w:tcW w:type="dxa" w:w="2807"/>
          </w:tcPr>
          <w:p>
            <w:pPr>
              <w:spacing w:after="0"/>
              <w:jc w:val="left"/>
            </w:pPr>
            <w:r/>
            <w:r>
              <w:rPr>
                <w:rFonts w:ascii="Calibri" w:hAnsi="Calibri"/>
                <w:b/>
                <w:color w:val="1A1A1A"/>
                <w:sz w:val="24"/>
              </w:rPr>
              <w:t>Antes</w:t>
            </w:r>
          </w:p>
        </w:tc>
        <w:tc>
          <w:tcPr>
            <w:tcW w:type="dxa" w:w="3385"/>
          </w:tcPr>
          <w:p>
            <w:pPr>
              <w:spacing w:after="0"/>
              <w:jc w:val="left"/>
            </w:pPr>
            <w:r/>
            <w:r>
              <w:rPr>
                <w:rFonts w:ascii="Calibri" w:hAnsi="Calibri"/>
                <w:b w:val="0"/>
                <w:color w:val="1A1A1A"/>
                <w:sz w:val="24"/>
              </w:rPr>
              <w:t>Termo de consentimento específico por procedimento</w:t>
            </w:r>
          </w:p>
        </w:tc>
        <w:tc>
          <w:tcPr>
            <w:tcW w:type="dxa" w:w="2880"/>
          </w:tcPr>
          <w:p>
            <w:pPr>
              <w:spacing w:after="0"/>
              <w:jc w:val="left"/>
            </w:pPr>
            <w:r/>
            <w:r>
              <w:rPr>
                <w:rFonts w:ascii="Calibri" w:hAnsi="Calibri"/>
                <w:b w:val="0"/>
                <w:color w:val="1A1A1A"/>
                <w:sz w:val="24"/>
              </w:rPr>
              <w:t>Natureza do procedimento, produto e sua situação regulatória, alternativas, riscos previsíveis, sinais de alerta e conduta esperada do paciente diante de cada sinal.</w:t>
            </w:r>
          </w:p>
        </w:tc>
      </w:tr>
      <w:tr>
        <w:trPr>
          <w:cantSplit/>
        </w:trPr>
        <w:tc>
          <w:tcPr>
            <w:tcW w:type="dxa" w:w="2807"/>
            <w:shd w:val="clear" w:color="auto" w:fill="F2F5F8"/>
          </w:tcPr>
          <w:p>
            <w:pPr>
              <w:spacing w:after="0"/>
              <w:jc w:val="left"/>
            </w:pPr>
            <w:r/>
            <w:r>
              <w:rPr>
                <w:rFonts w:ascii="Calibri" w:hAnsi="Calibri"/>
                <w:b/>
                <w:color w:val="1A1A1A"/>
                <w:sz w:val="24"/>
              </w:rPr>
              <w:t>Imediatamente após</w:t>
            </w:r>
          </w:p>
        </w:tc>
        <w:tc>
          <w:tcPr>
            <w:tcW w:type="dxa" w:w="3385"/>
            <w:shd w:val="clear" w:color="auto" w:fill="F2F5F8"/>
          </w:tcPr>
          <w:p>
            <w:pPr>
              <w:spacing w:after="0"/>
              <w:jc w:val="left"/>
            </w:pPr>
            <w:r/>
            <w:r>
              <w:rPr>
                <w:rFonts w:ascii="Calibri" w:hAnsi="Calibri"/>
                <w:b w:val="0"/>
                <w:color w:val="1A1A1A"/>
                <w:sz w:val="24"/>
              </w:rPr>
              <w:t>Cartão de orientação pós-procedimento</w:t>
            </w:r>
          </w:p>
        </w:tc>
        <w:tc>
          <w:tcPr>
            <w:tcW w:type="dxa" w:w="2880"/>
            <w:shd w:val="clear" w:color="auto" w:fill="F2F5F8"/>
          </w:tcPr>
          <w:p>
            <w:pPr>
              <w:spacing w:after="0"/>
              <w:jc w:val="left"/>
            </w:pPr>
            <w:r/>
            <w:r>
              <w:rPr>
                <w:rFonts w:ascii="Calibri" w:hAnsi="Calibri"/>
                <w:b w:val="0"/>
                <w:color w:val="1A1A1A"/>
                <w:sz w:val="24"/>
              </w:rPr>
              <w:t>Sinais que exigem contato imediato, descritos em linguagem leiga, canal e horário de contato, e conduta de urgência caso o profissional não seja localizado.</w:t>
            </w:r>
          </w:p>
        </w:tc>
      </w:tr>
      <w:tr>
        <w:trPr>
          <w:cantSplit/>
        </w:trPr>
        <w:tc>
          <w:tcPr>
            <w:tcW w:type="dxa" w:w="2807"/>
          </w:tcPr>
          <w:p>
            <w:pPr>
              <w:spacing w:after="0"/>
              <w:jc w:val="left"/>
            </w:pPr>
            <w:r/>
            <w:r>
              <w:rPr>
                <w:rFonts w:ascii="Calibri" w:hAnsi="Calibri"/>
                <w:b/>
                <w:color w:val="1A1A1A"/>
                <w:sz w:val="24"/>
              </w:rPr>
              <w:t>Seguimento</w:t>
            </w:r>
          </w:p>
        </w:tc>
        <w:tc>
          <w:tcPr>
            <w:tcW w:type="dxa" w:w="3385"/>
          </w:tcPr>
          <w:p>
            <w:pPr>
              <w:spacing w:after="0"/>
              <w:jc w:val="left"/>
            </w:pPr>
            <w:r/>
            <w:r>
              <w:rPr>
                <w:rFonts w:ascii="Calibri" w:hAnsi="Calibri"/>
                <w:b w:val="0"/>
                <w:color w:val="1A1A1A"/>
                <w:sz w:val="24"/>
              </w:rPr>
              <w:t>Rotina de contato ativo em intervalos definidos</w:t>
            </w:r>
          </w:p>
        </w:tc>
        <w:tc>
          <w:tcPr>
            <w:tcW w:type="dxa" w:w="2880"/>
          </w:tcPr>
          <w:p>
            <w:pPr>
              <w:spacing w:after="0"/>
              <w:jc w:val="left"/>
            </w:pPr>
            <w:r/>
            <w:r>
              <w:rPr>
                <w:rFonts w:ascii="Calibri" w:hAnsi="Calibri"/>
                <w:b w:val="0"/>
                <w:color w:val="1A1A1A"/>
                <w:sz w:val="24"/>
              </w:rPr>
              <w:t>Registro documentado do contato, da resposta do paciente e de eventual conduta adotada.</w:t>
            </w:r>
          </w:p>
        </w:tc>
      </w:tr>
    </w:tbl>
    <w:p>
      <w:pPr>
        <w:keepNext/>
        <w:spacing w:before="360" w:after="160"/>
        <w:jc w:val="left"/>
        <w:pBdr>
          <w:bottom w:val="single" w:sz="8" w:space="4" w:color="143C64"/>
        </w:pBdr>
      </w:pPr>
      <w:r>
        <w:rPr>
          <w:rFonts w:ascii="Calibri" w:hAnsi="Calibri"/>
          <w:b/>
          <w:color w:val="143C64"/>
          <w:sz w:val="30"/>
        </w:rPr>
        <w:t>8  Lacunas declaradas</w:t>
      </w:r>
    </w:p>
    <w:p>
      <w:pPr>
        <w:pStyle w:val="ListBullet"/>
        <w:spacing w:after="60"/>
        <w:ind w:left="397"/>
        <w:jc w:val="both"/>
      </w:pPr>
      <w:r>
        <w:rPr>
          <w:rFonts w:ascii="Calibri" w:hAnsi="Calibri"/>
          <w:color w:val="1A1A1A"/>
          <w:sz w:val="24"/>
        </w:rPr>
        <w:t>PENDÊNCIA INSTITUCIONAL. O levantamento estadual de frequência de intercorrências depende de dados primários ou agregados autorizados. Não apresentar percentuais estaduais até que existam.</w:t>
      </w:r>
    </w:p>
    <w:p>
      <w:pPr>
        <w:pStyle w:val="ListBullet"/>
        <w:spacing w:after="60"/>
        <w:ind w:left="397"/>
        <w:jc w:val="both"/>
      </w:pPr>
      <w:r>
        <w:rPr>
          <w:rFonts w:ascii="Calibri" w:hAnsi="Calibri"/>
          <w:color w:val="1A1A1A"/>
          <w:sz w:val="24"/>
        </w:rPr>
        <w:t>RECOMENDAÇÃO TÉCNICA. A literatura verificada é de origem médica. A transposição para o escopo odontológico exige análise institucional própria de competência profissional.</w:t>
      </w:r>
    </w:p>
    <w:p>
      <w:pPr>
        <w:pStyle w:val="ListBullet"/>
        <w:spacing w:after="60"/>
        <w:ind w:left="397"/>
        <w:jc w:val="both"/>
      </w:pPr>
      <w:r>
        <w:rPr>
          <w:rFonts w:ascii="Calibri" w:hAnsi="Calibri"/>
          <w:color w:val="1A1A1A"/>
          <w:sz w:val="24"/>
        </w:rPr>
        <w:t>PENDÊNCIA INSTITUCIONAL. A definição de agentes, vias e doses de manejo pertence aos POPs específicos e depende de deliberação do colegiado.</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6"/>
        <w:gridCol w:w="2363"/>
        <w:gridCol w:w="3163"/>
      </w:tblGrid>
      <w:tr>
        <w:trPr>
          <w:cantSplit/>
          <w:tblHeader/>
        </w:trPr>
        <w:tc>
          <w:tcPr>
            <w:tcW w:type="dxa" w:w="3546"/>
            <w:shd w:val="clear" w:color="auto" w:fill="143C64"/>
          </w:tcPr>
          <w:p>
            <w:pPr>
              <w:spacing w:after="0"/>
              <w:jc w:val="left"/>
            </w:pPr>
            <w:r/>
            <w:r>
              <w:rPr>
                <w:rFonts w:ascii="Calibri" w:hAnsi="Calibri"/>
                <w:b/>
                <w:color w:val="FFFFFF"/>
                <w:sz w:val="24"/>
              </w:rPr>
              <w:t>Referência</w:t>
            </w:r>
          </w:p>
        </w:tc>
        <w:tc>
          <w:tcPr>
            <w:tcW w:type="dxa" w:w="2363"/>
            <w:shd w:val="clear" w:color="auto" w:fill="143C64"/>
          </w:tcPr>
          <w:p>
            <w:pPr>
              <w:spacing w:after="0"/>
              <w:jc w:val="left"/>
            </w:pPr>
            <w:r/>
            <w:r>
              <w:rPr>
                <w:rFonts w:ascii="Calibri" w:hAnsi="Calibri"/>
                <w:b/>
                <w:color w:val="FFFFFF"/>
                <w:sz w:val="24"/>
              </w:rPr>
              <w:t>Desenho</w:t>
            </w:r>
          </w:p>
        </w:tc>
        <w:tc>
          <w:tcPr>
            <w:tcW w:type="dxa" w:w="3163"/>
            <w:shd w:val="clear" w:color="auto" w:fill="143C64"/>
          </w:tcPr>
          <w:p>
            <w:pPr>
              <w:spacing w:after="0"/>
              <w:jc w:val="left"/>
            </w:pPr>
            <w:r/>
            <w:r>
              <w:rPr>
                <w:rFonts w:ascii="Calibri" w:hAnsi="Calibri"/>
                <w:b/>
                <w:color w:val="FFFFFF"/>
                <w:sz w:val="24"/>
              </w:rPr>
              <w:t>Identificadores e verificação</w:t>
            </w:r>
          </w:p>
        </w:tc>
      </w:tr>
      <w:tr>
        <w:trPr>
          <w:cantSplit/>
        </w:trPr>
        <w:tc>
          <w:tcPr>
            <w:tcW w:type="dxa" w:w="3546"/>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63"/>
          </w:tcPr>
          <w:p>
            <w:pPr>
              <w:spacing w:after="0"/>
              <w:jc w:val="left"/>
            </w:pPr>
            <w:r/>
            <w:r>
              <w:rPr>
                <w:rFonts w:ascii="Calibri" w:hAnsi="Calibri"/>
                <w:b w:val="0"/>
                <w:color w:val="1A1A1A"/>
                <w:sz w:val="24"/>
              </w:rPr>
              <w:t>Revisão sistemática</w:t>
            </w:r>
          </w:p>
        </w:tc>
        <w:tc>
          <w:tcPr>
            <w:tcW w:type="dxa" w:w="316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63"/>
            <w:shd w:val="clear" w:color="auto" w:fill="F2F5F8"/>
          </w:tcPr>
          <w:p>
            <w:pPr>
              <w:spacing w:after="0"/>
              <w:jc w:val="left"/>
            </w:pPr>
            <w:r/>
            <w:r>
              <w:rPr>
                <w:rFonts w:ascii="Calibri" w:hAnsi="Calibri"/>
                <w:b w:val="0"/>
                <w:color w:val="1A1A1A"/>
                <w:sz w:val="24"/>
              </w:rPr>
              <w:t>Revisão (35 artigos, PRISMA 2020)</w:t>
            </w:r>
          </w:p>
        </w:tc>
        <w:tc>
          <w:tcPr>
            <w:tcW w:type="dxa" w:w="316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63"/>
          </w:tcPr>
          <w:p>
            <w:pPr>
              <w:spacing w:after="0"/>
              <w:jc w:val="left"/>
            </w:pPr>
            <w:r/>
            <w:r>
              <w:rPr>
                <w:rFonts w:ascii="Calibri" w:hAnsi="Calibri"/>
                <w:b w:val="0"/>
                <w:color w:val="1A1A1A"/>
                <w:sz w:val="24"/>
              </w:rPr>
              <w:t>Revisão</w:t>
            </w:r>
          </w:p>
        </w:tc>
        <w:tc>
          <w:tcPr>
            <w:tcW w:type="dxa" w:w="316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63"/>
            <w:shd w:val="clear" w:color="auto" w:fill="F2F5F8"/>
          </w:tcPr>
          <w:p>
            <w:pPr>
              <w:spacing w:after="0"/>
              <w:jc w:val="left"/>
            </w:pPr>
            <w:r/>
            <w:r>
              <w:rPr>
                <w:rFonts w:ascii="Calibri" w:hAnsi="Calibri"/>
                <w:b w:val="0"/>
                <w:color w:val="1A1A1A"/>
                <w:sz w:val="24"/>
              </w:rPr>
              <w:t>Estudo transversal, 57 participantes</w:t>
            </w:r>
          </w:p>
        </w:tc>
        <w:tc>
          <w:tcPr>
            <w:tcW w:type="dxa" w:w="316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63"/>
          </w:tcPr>
          <w:p>
            <w:pPr>
              <w:spacing w:after="0"/>
              <w:jc w:val="left"/>
            </w:pPr>
            <w:r/>
            <w:r>
              <w:rPr>
                <w:rFonts w:ascii="Calibri" w:hAnsi="Calibri"/>
                <w:b w:val="0"/>
                <w:color w:val="1A1A1A"/>
                <w:sz w:val="24"/>
              </w:rPr>
              <w:t>Revisão sistemática (29 de 1.832 registros)</w:t>
            </w:r>
          </w:p>
        </w:tc>
        <w:tc>
          <w:tcPr>
            <w:tcW w:type="dxa" w:w="316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N5-GUIA-01 · Guia de Diagnóstico Precoce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N5-GUIA-01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