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POP-N5-10  Reação sistêmica e emergência clínica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POP-N5-10.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reconhecimento e a resposta inicial a reação sistêmica e a emergência clínica durante ou após procedimento, incluindo o acionamento do serviço de emergência. As medidas executadas dependem da capacitação do profissional e dos recursos disponíveis.</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As medidas de suporte adotadas devem ser compatíveis com a competência profissional e com a norma vigente na data de sua aplicação.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em suporte básico de vida. Medidas além dessa capacitação não devem ser executadas.</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Recursos definidos no POP-N5-09; meio de acionamento do serviço de emergência; relógio visível; formulário de registro.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Contatos de emergência afixados e atualizados.</w:t>
      </w:r>
    </w:p>
    <w:p>
      <w:pPr>
        <w:pStyle w:val="ListBullet"/>
        <w:spacing w:after="60"/>
        <w:ind w:left="397"/>
        <w:jc w:val="both"/>
      </w:pPr>
      <w:r>
        <w:rPr>
          <w:rFonts w:ascii="Calibri" w:hAnsi="Calibri"/>
          <w:color w:val="1A1A1A"/>
          <w:sz w:val="24"/>
        </w:rPr>
        <w:t>☐  Equipe ciente da função de cada integrante durante uma emergência.</w:t>
      </w:r>
    </w:p>
    <w:p>
      <w:pPr>
        <w:pStyle w:val="ListBullet"/>
        <w:spacing w:after="60"/>
        <w:ind w:left="397"/>
        <w:jc w:val="both"/>
      </w:pPr>
      <w:r>
        <w:rPr>
          <w:rFonts w:ascii="Calibri" w:hAnsi="Calibri"/>
          <w:color w:val="1A1A1A"/>
          <w:sz w:val="24"/>
        </w:rPr>
        <w:t>☐  Recursos conferidos conforme o POP-N5-09.</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Interromper imediatamente o procedimento e registrar o horário.</w:t>
      </w:r>
    </w:p>
    <w:p>
      <w:pPr>
        <w:pStyle w:val="ListNumber"/>
        <w:spacing w:after="60"/>
        <w:ind w:left="397"/>
        <w:jc w:val="both"/>
      </w:pPr>
      <w:r>
        <w:rPr>
          <w:rFonts w:ascii="Calibri" w:hAnsi="Calibri"/>
          <w:color w:val="1A1A1A"/>
          <w:sz w:val="24"/>
        </w:rPr>
        <w:t>Acionar o serviço de emergência sem demora quando houver dispneia, alteração do nível de consciência, sinais de anafilaxia ou instabilidade hemodinâmica.</w:t>
      </w:r>
    </w:p>
    <w:p>
      <w:pPr>
        <w:pStyle w:val="ListNumber"/>
        <w:spacing w:after="60"/>
        <w:ind w:left="397"/>
        <w:jc w:val="both"/>
      </w:pPr>
      <w:r>
        <w:rPr>
          <w:rFonts w:ascii="Calibri" w:hAnsi="Calibri"/>
          <w:color w:val="1A1A1A"/>
          <w:sz w:val="24"/>
        </w:rPr>
        <w:t>Adotar as medidas de suporte compatíveis com a capacitação do profissional e com os recursos disponíveis.</w:t>
      </w:r>
    </w:p>
    <w:p>
      <w:pPr>
        <w:pStyle w:val="ListNumber"/>
        <w:spacing w:after="60"/>
        <w:ind w:left="397"/>
        <w:jc w:val="both"/>
      </w:pPr>
      <w:r>
        <w:rPr>
          <w:rFonts w:ascii="Calibri" w:hAnsi="Calibri"/>
          <w:color w:val="1A1A1A"/>
          <w:sz w:val="24"/>
        </w:rPr>
        <w:t>Manter monitoramento contínuo até a chegada do socorro ou a estabilização.</w:t>
      </w:r>
    </w:p>
    <w:p>
      <w:pPr>
        <w:pStyle w:val="ListNumber"/>
        <w:spacing w:after="60"/>
        <w:ind w:left="397"/>
        <w:jc w:val="both"/>
      </w:pPr>
      <w:r>
        <w:rPr>
          <w:rFonts w:ascii="Calibri" w:hAnsi="Calibri"/>
          <w:color w:val="1A1A1A"/>
          <w:sz w:val="24"/>
        </w:rPr>
        <w:t>Designar um integrante da equipe exclusivamente para registrar horários e condutas.</w:t>
      </w:r>
    </w:p>
    <w:p>
      <w:pPr>
        <w:pStyle w:val="ListNumber"/>
        <w:spacing w:after="60"/>
        <w:ind w:left="397"/>
        <w:jc w:val="both"/>
      </w:pPr>
      <w:r>
        <w:rPr>
          <w:rFonts w:ascii="Calibri" w:hAnsi="Calibri"/>
          <w:color w:val="1A1A1A"/>
          <w:sz w:val="24"/>
        </w:rPr>
        <w:t>Transmitir ao serviço receptor o produto utilizado, lote, região, volume, horários e medidas adotadas.</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Dispneia, estridor ou sensação de fechamento de garganta.</w:t>
      </w:r>
    </w:p>
    <w:p>
      <w:pPr>
        <w:pStyle w:val="ListBullet"/>
        <w:spacing w:after="60"/>
        <w:ind w:left="397"/>
        <w:jc w:val="both"/>
      </w:pPr>
      <w:r>
        <w:rPr>
          <w:rFonts w:ascii="Calibri" w:hAnsi="Calibri"/>
          <w:color w:val="1A1A1A"/>
          <w:sz w:val="24"/>
        </w:rPr>
        <w:t>Urticária generalizada, angioedema ou prurido difuso de instalação rápida.</w:t>
      </w:r>
    </w:p>
    <w:p>
      <w:pPr>
        <w:pStyle w:val="ListBullet"/>
        <w:spacing w:after="60"/>
        <w:ind w:left="397"/>
        <w:jc w:val="both"/>
      </w:pPr>
      <w:r>
        <w:rPr>
          <w:rFonts w:ascii="Calibri" w:hAnsi="Calibri"/>
          <w:color w:val="1A1A1A"/>
          <w:sz w:val="24"/>
        </w:rPr>
        <w:t>Alteração do nível de consciência.</w:t>
      </w:r>
    </w:p>
    <w:p>
      <w:pPr>
        <w:pStyle w:val="ListBullet"/>
        <w:spacing w:after="60"/>
        <w:ind w:left="397"/>
        <w:jc w:val="both"/>
      </w:pPr>
      <w:r>
        <w:rPr>
          <w:rFonts w:ascii="Calibri" w:hAnsi="Calibri"/>
          <w:color w:val="1A1A1A"/>
          <w:sz w:val="24"/>
        </w:rPr>
        <w:t>Hipotensão, palidez intensa ou sudorese fria.</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Este POP é a própria conduta de emergência. Não há hipótese de aguardar evolução antes de acionar o serviço de emergência diante dos sinais acima.</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Horário do primeiro sinal, do acionamento e de cada medida adotada.</w:t>
      </w:r>
    </w:p>
    <w:p>
      <w:pPr>
        <w:pStyle w:val="ListBullet"/>
        <w:spacing w:after="60"/>
        <w:ind w:left="397"/>
        <w:jc w:val="both"/>
      </w:pPr>
      <w:r>
        <w:rPr>
          <w:rFonts w:ascii="Calibri" w:hAnsi="Calibri"/>
          <w:color w:val="1A1A1A"/>
          <w:sz w:val="24"/>
        </w:rPr>
        <w:t>Sinais observados e evolução.</w:t>
      </w:r>
    </w:p>
    <w:p>
      <w:pPr>
        <w:pStyle w:val="ListBullet"/>
        <w:spacing w:after="60"/>
        <w:ind w:left="397"/>
        <w:jc w:val="both"/>
      </w:pPr>
      <w:r>
        <w:rPr>
          <w:rFonts w:ascii="Calibri" w:hAnsi="Calibri"/>
          <w:color w:val="1A1A1A"/>
          <w:sz w:val="24"/>
        </w:rPr>
        <w:t>Produto utilizado, lote, região e volume.</w:t>
      </w:r>
    </w:p>
    <w:p>
      <w:pPr>
        <w:pStyle w:val="ListBullet"/>
        <w:spacing w:after="60"/>
        <w:ind w:left="397"/>
        <w:jc w:val="both"/>
      </w:pPr>
      <w:r>
        <w:rPr>
          <w:rFonts w:ascii="Calibri" w:hAnsi="Calibri"/>
          <w:color w:val="1A1A1A"/>
          <w:sz w:val="24"/>
        </w:rPr>
        <w:t>Serviço acionado e informações transmitidas.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Registrar o desfecho quando informado. Avaliar notificação conforme o POP-N5-17. Realizar revisão interna do caso e do desempenho do fluxo de emergência.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Documentos 07 e 09 do pacote. POP-N5-09.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POP-N5-10 · Reação sistêmica e emergência clínica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