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POP-N5-T01  Verificação regulatória e documental pré-uso de tecnologia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96"/>
        <w:gridCol w:w="7876"/>
      </w:tblGrid>
      <w:tr>
        <w:trPr>
          <w:cantSplit/>
          <w:tblHeader/>
        </w:trPr>
        <w:tc>
          <w:tcPr>
            <w:tcW w:type="dxa" w:w="1196"/>
            <w:shd w:val="clear" w:color="auto" w:fill="143C64"/>
          </w:tcPr>
          <w:p>
            <w:pPr>
              <w:spacing w:after="0"/>
              <w:jc w:val="left"/>
            </w:pPr>
            <w:r/>
            <w:r>
              <w:rPr>
                <w:rFonts w:ascii="Calibri" w:hAnsi="Calibri"/>
                <w:b/>
                <w:color w:val="FFFFFF"/>
                <w:sz w:val="24"/>
              </w:rPr>
              <w:t>Nº</w:t>
            </w:r>
          </w:p>
        </w:tc>
        <w:tc>
          <w:tcPr>
            <w:tcW w:type="dxa" w:w="7876"/>
            <w:shd w:val="clear" w:color="auto" w:fill="143C64"/>
          </w:tcPr>
          <w:p>
            <w:pPr>
              <w:spacing w:after="0"/>
              <w:jc w:val="left"/>
            </w:pPr>
            <w:r/>
            <w:r>
              <w:rPr>
                <w:rFonts w:ascii="Calibri" w:hAnsi="Calibri"/>
                <w:b/>
                <w:color w:val="FFFFFF"/>
                <w:sz w:val="24"/>
              </w:rPr>
              <w:t>Passo operacional</w:t>
            </w:r>
          </w:p>
        </w:tc>
      </w:tr>
      <w:tr>
        <w:trPr>
          <w:cantSplit/>
        </w:trPr>
        <w:tc>
          <w:tcPr>
            <w:tcW w:type="dxa" w:w="1196"/>
          </w:tcPr>
          <w:p>
            <w:pPr>
              <w:spacing w:after="0"/>
              <w:jc w:val="left"/>
            </w:pPr>
            <w:r/>
            <w:r>
              <w:rPr>
                <w:rFonts w:ascii="Calibri" w:hAnsi="Calibri"/>
                <w:b w:val="0"/>
                <w:color w:val="1A1A1A"/>
                <w:sz w:val="24"/>
              </w:rPr>
              <w:t>1</w:t>
            </w:r>
          </w:p>
        </w:tc>
        <w:tc>
          <w:tcPr>
            <w:tcW w:type="dxa" w:w="7876"/>
          </w:tcPr>
          <w:p>
            <w:pPr>
              <w:spacing w:after="0"/>
              <w:jc w:val="left"/>
            </w:pPr>
            <w:r/>
            <w:r>
              <w:rPr>
                <w:rFonts w:ascii="Calibri" w:hAnsi="Calibri"/>
                <w:b w:val="0"/>
                <w:color w:val="1A1A1A"/>
                <w:sz w:val="24"/>
              </w:rPr>
              <w:t>Confirmar identificação inequívoca do equipamento ou dispositivo e a finalidade pretendida.</w:t>
            </w:r>
          </w:p>
        </w:tc>
      </w:tr>
      <w:tr>
        <w:trPr>
          <w:cantSplit/>
        </w:trPr>
        <w:tc>
          <w:tcPr>
            <w:tcW w:type="dxa" w:w="1196"/>
            <w:shd w:val="clear" w:color="auto" w:fill="F2F5F8"/>
          </w:tcPr>
          <w:p>
            <w:pPr>
              <w:spacing w:after="0"/>
              <w:jc w:val="left"/>
            </w:pPr>
            <w:r/>
            <w:r>
              <w:rPr>
                <w:rFonts w:ascii="Calibri" w:hAnsi="Calibri"/>
                <w:b w:val="0"/>
                <w:color w:val="1A1A1A"/>
                <w:sz w:val="24"/>
              </w:rPr>
              <w:t>2</w:t>
            </w:r>
          </w:p>
        </w:tc>
        <w:tc>
          <w:tcPr>
            <w:tcW w:type="dxa" w:w="7876"/>
            <w:shd w:val="clear" w:color="auto" w:fill="F2F5F8"/>
          </w:tcPr>
          <w:p>
            <w:pPr>
              <w:spacing w:after="0"/>
              <w:jc w:val="left"/>
            </w:pPr>
            <w:r/>
            <w:r>
              <w:rPr>
                <w:rFonts w:ascii="Calibri" w:hAnsi="Calibri"/>
                <w:b w:val="0"/>
                <w:color w:val="1A1A1A"/>
                <w:sz w:val="24"/>
              </w:rPr>
              <w:t>Consultar a situação de regularização na Anvisa quando aplicável, registrando número, titular e data da consulta.</w:t>
            </w:r>
          </w:p>
        </w:tc>
      </w:tr>
      <w:tr>
        <w:trPr>
          <w:cantSplit/>
        </w:trPr>
        <w:tc>
          <w:tcPr>
            <w:tcW w:type="dxa" w:w="1196"/>
          </w:tcPr>
          <w:p>
            <w:pPr>
              <w:spacing w:after="0"/>
              <w:jc w:val="left"/>
            </w:pPr>
            <w:r/>
            <w:r>
              <w:rPr>
                <w:rFonts w:ascii="Calibri" w:hAnsi="Calibri"/>
                <w:b w:val="0"/>
                <w:color w:val="1A1A1A"/>
                <w:sz w:val="24"/>
              </w:rPr>
              <w:t>3</w:t>
            </w:r>
          </w:p>
        </w:tc>
        <w:tc>
          <w:tcPr>
            <w:tcW w:type="dxa" w:w="7876"/>
          </w:tcPr>
          <w:p>
            <w:pPr>
              <w:spacing w:after="0"/>
              <w:jc w:val="left"/>
            </w:pPr>
            <w:r/>
            <w:r>
              <w:rPr>
                <w:rFonts w:ascii="Calibri" w:hAnsi="Calibri"/>
                <w:b w:val="0"/>
                <w:color w:val="1A1A1A"/>
                <w:sz w:val="24"/>
              </w:rPr>
              <w:t>Conferir instruções de uso, profissional habilitado, contraindicações, acessórios obrigatórios e condições de operação.</w:t>
            </w:r>
          </w:p>
        </w:tc>
      </w:tr>
      <w:tr>
        <w:trPr>
          <w:cantSplit/>
        </w:trPr>
        <w:tc>
          <w:tcPr>
            <w:tcW w:type="dxa" w:w="1196"/>
            <w:shd w:val="clear" w:color="auto" w:fill="F2F5F8"/>
          </w:tcPr>
          <w:p>
            <w:pPr>
              <w:spacing w:after="0"/>
              <w:jc w:val="left"/>
            </w:pPr>
            <w:r/>
            <w:r>
              <w:rPr>
                <w:rFonts w:ascii="Calibri" w:hAnsi="Calibri"/>
                <w:b w:val="0"/>
                <w:color w:val="1A1A1A"/>
                <w:sz w:val="24"/>
              </w:rPr>
              <w:t>4</w:t>
            </w:r>
          </w:p>
        </w:tc>
        <w:tc>
          <w:tcPr>
            <w:tcW w:type="dxa" w:w="7876"/>
            <w:shd w:val="clear" w:color="auto" w:fill="F2F5F8"/>
          </w:tcPr>
          <w:p>
            <w:pPr>
              <w:spacing w:after="0"/>
              <w:jc w:val="left"/>
            </w:pPr>
            <w:r/>
            <w:r>
              <w:rPr>
                <w:rFonts w:ascii="Calibri" w:hAnsi="Calibri"/>
                <w:b w:val="0"/>
                <w:color w:val="1A1A1A"/>
                <w:sz w:val="24"/>
              </w:rPr>
              <w:t>Verificar integridade física, limpeza, disponibilidade de acessórios e condições ambientais previstas pelo fabricante.</w:t>
            </w:r>
          </w:p>
        </w:tc>
      </w:tr>
      <w:tr>
        <w:trPr>
          <w:cantSplit/>
        </w:trPr>
        <w:tc>
          <w:tcPr>
            <w:tcW w:type="dxa" w:w="1196"/>
          </w:tcPr>
          <w:p>
            <w:pPr>
              <w:spacing w:after="0"/>
              <w:jc w:val="left"/>
            </w:pPr>
            <w:r/>
            <w:r>
              <w:rPr>
                <w:rFonts w:ascii="Calibri" w:hAnsi="Calibri"/>
                <w:b w:val="0"/>
                <w:color w:val="1A1A1A"/>
                <w:sz w:val="24"/>
              </w:rPr>
              <w:t>5</w:t>
            </w:r>
          </w:p>
        </w:tc>
        <w:tc>
          <w:tcPr>
            <w:tcW w:type="dxa" w:w="7876"/>
          </w:tcPr>
          <w:p>
            <w:pPr>
              <w:spacing w:after="0"/>
              <w:jc w:val="left"/>
            </w:pPr>
            <w:r/>
            <w:r>
              <w:rPr>
                <w:rFonts w:ascii="Calibri" w:hAnsi="Calibri"/>
                <w:b w:val="0"/>
                <w:color w:val="1A1A1A"/>
                <w:sz w:val="24"/>
              </w:rPr>
              <w:t>Registrar no prontuário a tecnologia utilizada quando sua identificação for relevante para a rastreabilidade.</w:t>
            </w:r>
          </w:p>
        </w:tc>
      </w:tr>
      <w:tr>
        <w:trPr>
          <w:cantSplit/>
        </w:trPr>
        <w:tc>
          <w:tcPr>
            <w:tcW w:type="dxa" w:w="1196"/>
            <w:shd w:val="clear" w:color="auto" w:fill="F2F5F8"/>
          </w:tcPr>
          <w:p>
            <w:pPr>
              <w:spacing w:after="0"/>
              <w:jc w:val="left"/>
            </w:pPr>
            <w:r/>
            <w:r>
              <w:rPr>
                <w:rFonts w:ascii="Calibri" w:hAnsi="Calibri"/>
                <w:b w:val="0"/>
                <w:color w:val="1A1A1A"/>
                <w:sz w:val="24"/>
              </w:rPr>
              <w:t>6</w:t>
            </w:r>
          </w:p>
        </w:tc>
        <w:tc>
          <w:tcPr>
            <w:tcW w:type="dxa" w:w="7876"/>
            <w:shd w:val="clear" w:color="auto" w:fill="F2F5F8"/>
          </w:tcPr>
          <w:p>
            <w:pPr>
              <w:spacing w:after="0"/>
              <w:jc w:val="left"/>
            </w:pPr>
            <w:r/>
            <w:r>
              <w:rPr>
                <w:rFonts w:ascii="Calibri" w:hAnsi="Calibri"/>
                <w:b w:val="0"/>
                <w:color w:val="1A1A1A"/>
                <w:sz w:val="24"/>
              </w:rPr>
              <w:t>Impedir o uso diante de divergência documental, avaria, alerta de segurança, ausência de treinamento necessário ou condição fora da especificação.</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POP-N5-T01 · Verificação regulatória e documental pré-uso de tecnologia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POP-N5-T01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