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POP-N5-05  Suspeita de comprometimento vascular com envolvimento cutâneo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POP-N5-05. Versão 1.0. Emissão em 26 de agosto de 2026. Próxima revisão em até doze meses. Onda de produção 1. Situação de escopo: Livre, com fonte obrigatória por afirmação.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e a resposta inicial à suspeita de comprometimento vascular com envolvimento cutâneo após procedimento injetável. Este POP organiza o processo, os horários, o escalonamento e o registro. A definição de agente, via, dose e repetição pertence ao protocolo terapêutico aprovado pelo serviço e depende da competência profissional e dos recursos disponíveis.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 conduta terapêutica adotada pelo serviço deve estar descrita em protocolo próprio, com fonte declarada e data de consulta, e ser compatível com a competência profissional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reconhecimento e manejo de intercorrência vascular. Serviço sem essa capacitação deve executar apenas as medidas de suporte cabíveis e encaminhar de imediato.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Recursos de resposta a intercorrência definidos no protocolo do serviço, conferidos conforme o POP-N5-09; cronômetro ou relógio visível; formulário de registro de evento; contato e endereço da rota de encaminhamento.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Registro do horário do primeiro sinal.</w:t>
      </w:r>
    </w:p>
    <w:p>
      <w:pPr>
        <w:pStyle w:val="ListBullet"/>
        <w:spacing w:after="60"/>
        <w:ind w:left="397"/>
        <w:jc w:val="both"/>
      </w:pPr>
      <w:r>
        <w:rPr>
          <w:rFonts w:ascii="Calibri" w:hAnsi="Calibri"/>
          <w:color w:val="1A1A1A"/>
          <w:sz w:val="24"/>
        </w:rPr>
        <w:t>☐  Confirmação de que o procedimento foi interrompido.</w:t>
      </w:r>
    </w:p>
    <w:p>
      <w:pPr>
        <w:pStyle w:val="ListBullet"/>
        <w:spacing w:after="60"/>
        <w:ind w:left="397"/>
        <w:jc w:val="both"/>
      </w:pPr>
      <w:r>
        <w:rPr>
          <w:rFonts w:ascii="Calibri" w:hAnsi="Calibri"/>
          <w:color w:val="1A1A1A"/>
          <w:sz w:val="24"/>
        </w:rPr>
        <w:t>☐  Identificação do produto aplicado, lote, região e volume.</w:t>
      </w:r>
    </w:p>
    <w:p>
      <w:pPr>
        <w:pStyle w:val="ListBullet"/>
        <w:spacing w:after="60"/>
        <w:ind w:left="397"/>
        <w:jc w:val="both"/>
      </w:pPr>
      <w:r>
        <w:rPr>
          <w:rFonts w:ascii="Calibri" w:hAnsi="Calibri"/>
          <w:color w:val="1A1A1A"/>
          <w:sz w:val="24"/>
        </w:rPr>
        <w:t>☐  Verificação de disponibilidade e validade dos recursos do protocolo do serviço.</w:t>
      </w:r>
    </w:p>
    <w:p>
      <w:pPr>
        <w:pStyle w:val="ListBullet"/>
        <w:spacing w:after="60"/>
        <w:ind w:left="397"/>
        <w:jc w:val="both"/>
      </w:pPr>
      <w:r>
        <w:rPr>
          <w:rFonts w:ascii="Calibri" w:hAnsi="Calibri"/>
          <w:color w:val="1A1A1A"/>
          <w:sz w:val="24"/>
        </w:rPr>
        <w:t>☐  Confirmação de que a rota de encaminhamento está acessível.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o procedimento e registrar o horário.</w:t>
      </w:r>
    </w:p>
    <w:p>
      <w:pPr>
        <w:pStyle w:val="ListNumber"/>
        <w:spacing w:after="60"/>
        <w:ind w:left="397"/>
        <w:jc w:val="both"/>
      </w:pPr>
      <w:r>
        <w:rPr>
          <w:rFonts w:ascii="Calibri" w:hAnsi="Calibri"/>
          <w:color w:val="1A1A1A"/>
          <w:sz w:val="24"/>
        </w:rPr>
        <w:t>Avaliar a extensão do território acometido e documentar por escrito e por imagem.</w:t>
      </w:r>
    </w:p>
    <w:p>
      <w:pPr>
        <w:pStyle w:val="ListNumber"/>
        <w:spacing w:after="60"/>
        <w:ind w:left="397"/>
        <w:jc w:val="both"/>
      </w:pPr>
      <w:r>
        <w:rPr>
          <w:rFonts w:ascii="Calibri" w:hAnsi="Calibri"/>
          <w:color w:val="1A1A1A"/>
          <w:sz w:val="24"/>
        </w:rPr>
        <w:t>Verificar ativamente a presença de sintoma visual ou neurológico. Havendo qualquer um, acionar encaminhamento de urgência sem aguardar evolução ou exame.</w:t>
      </w:r>
    </w:p>
    <w:p>
      <w:pPr>
        <w:pStyle w:val="ListNumber"/>
        <w:spacing w:after="60"/>
        <w:ind w:left="397"/>
        <w:jc w:val="both"/>
      </w:pPr>
      <w:r>
        <w:rPr>
          <w:rFonts w:ascii="Calibri" w:hAnsi="Calibri"/>
          <w:color w:val="1A1A1A"/>
          <w:sz w:val="24"/>
        </w:rPr>
        <w:t>Aplicar o protocolo terapêutico aprovado pelo serviço, registrando o horário de início.</w:t>
      </w:r>
    </w:p>
    <w:p>
      <w:pPr>
        <w:pStyle w:val="ListNumber"/>
        <w:spacing w:after="60"/>
        <w:ind w:left="397"/>
        <w:jc w:val="both"/>
      </w:pPr>
      <w:r>
        <w:rPr>
          <w:rFonts w:ascii="Calibri" w:hAnsi="Calibri"/>
          <w:color w:val="1A1A1A"/>
          <w:sz w:val="24"/>
        </w:rPr>
        <w:t>Reavaliar em intervalos curtos definidos no protocolo, registrando cada reavaliação e a resposta observada.</w:t>
      </w:r>
    </w:p>
    <w:p>
      <w:pPr>
        <w:pStyle w:val="ListNumber"/>
        <w:spacing w:after="60"/>
        <w:ind w:left="397"/>
        <w:jc w:val="both"/>
      </w:pPr>
      <w:r>
        <w:rPr>
          <w:rFonts w:ascii="Calibri" w:hAnsi="Calibri"/>
          <w:color w:val="1A1A1A"/>
          <w:sz w:val="24"/>
        </w:rPr>
        <w:t>Manter o paciente sob observação até estabilização ou até a transferência de cuidado.</w:t>
      </w:r>
    </w:p>
    <w:p>
      <w:pPr>
        <w:pStyle w:val="ListNumber"/>
        <w:spacing w:after="60"/>
        <w:ind w:left="397"/>
        <w:jc w:val="both"/>
      </w:pPr>
      <w:r>
        <w:rPr>
          <w:rFonts w:ascii="Calibri" w:hAnsi="Calibri"/>
          <w:color w:val="1A1A1A"/>
          <w:sz w:val="24"/>
        </w:rPr>
        <w:t>Definir e comunicar o plano de seguimento antes da alta.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Progressão da área acometida apesar da conduta.</w:t>
      </w:r>
    </w:p>
    <w:p>
      <w:pPr>
        <w:pStyle w:val="ListBullet"/>
        <w:spacing w:after="60"/>
        <w:ind w:left="397"/>
        <w:jc w:val="both"/>
      </w:pPr>
      <w:r>
        <w:rPr>
          <w:rFonts w:ascii="Calibri" w:hAnsi="Calibri"/>
          <w:color w:val="1A1A1A"/>
          <w:sz w:val="24"/>
        </w:rPr>
        <w:t>Surgimento de sintoma visual ou neurológico em qualquer momento.</w:t>
      </w:r>
    </w:p>
    <w:p>
      <w:pPr>
        <w:pStyle w:val="ListBullet"/>
        <w:spacing w:after="60"/>
        <w:ind w:left="397"/>
        <w:jc w:val="both"/>
      </w:pPr>
      <w:r>
        <w:rPr>
          <w:rFonts w:ascii="Calibri" w:hAnsi="Calibri"/>
          <w:color w:val="1A1A1A"/>
          <w:sz w:val="24"/>
        </w:rPr>
        <w:t>Formação de bolha, escurecimento ou sinal de necrose.</w:t>
      </w:r>
    </w:p>
    <w:p>
      <w:pPr>
        <w:pStyle w:val="ListBullet"/>
        <w:spacing w:after="60"/>
        <w:ind w:left="397"/>
        <w:jc w:val="both"/>
      </w:pPr>
      <w:r>
        <w:rPr>
          <w:rFonts w:ascii="Calibri" w:hAnsi="Calibri"/>
          <w:color w:val="1A1A1A"/>
          <w:sz w:val="24"/>
        </w:rPr>
        <w:t>Dor que se intensifica em vez de ceder.</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Diante de qualquer sinal visual ou neurológico, aplicar o POP-N5-06. Diante de instabilidade sistêmica, aplicar o POP-N5-10. A ausência de melhora no intervalo previsto pelo protocolo do serviço é critério de encaminhamento, e não de repetição indefinida da mesma conduta.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Os três horários: primeiro sinal, contato e primeira conduta.</w:t>
      </w:r>
    </w:p>
    <w:p>
      <w:pPr>
        <w:pStyle w:val="ListBullet"/>
        <w:spacing w:after="60"/>
        <w:ind w:left="397"/>
        <w:jc w:val="both"/>
      </w:pPr>
      <w:r>
        <w:rPr>
          <w:rFonts w:ascii="Calibri" w:hAnsi="Calibri"/>
          <w:color w:val="1A1A1A"/>
          <w:sz w:val="24"/>
        </w:rPr>
        <w:t>Descrição objetiva dos sinais, com fotografia sempre que possível.</w:t>
      </w:r>
    </w:p>
    <w:p>
      <w:pPr>
        <w:pStyle w:val="ListBullet"/>
        <w:spacing w:after="60"/>
        <w:ind w:left="397"/>
        <w:jc w:val="both"/>
      </w:pPr>
      <w:r>
        <w:rPr>
          <w:rFonts w:ascii="Calibri" w:hAnsi="Calibri"/>
          <w:color w:val="1A1A1A"/>
          <w:sz w:val="24"/>
        </w:rPr>
        <w:t>Conduta adotada, com horários de cada etapa e resposta observada.</w:t>
      </w:r>
    </w:p>
    <w:p>
      <w:pPr>
        <w:pStyle w:val="ListBullet"/>
        <w:spacing w:after="60"/>
        <w:ind w:left="397"/>
        <w:jc w:val="both"/>
      </w:pPr>
      <w:r>
        <w:rPr>
          <w:rFonts w:ascii="Calibri" w:hAnsi="Calibri"/>
          <w:color w:val="1A1A1A"/>
          <w:sz w:val="24"/>
        </w:rPr>
        <w:t>Encaminhamento realizado, destino e horário.</w:t>
      </w:r>
    </w:p>
    <w:p>
      <w:pPr>
        <w:pStyle w:val="ListBullet"/>
        <w:spacing w:after="60"/>
        <w:ind w:left="397"/>
        <w:jc w:val="both"/>
      </w:pPr>
      <w:r>
        <w:rPr>
          <w:rFonts w:ascii="Calibri" w:hAnsi="Calibri"/>
          <w:color w:val="1A1A1A"/>
          <w:sz w:val="24"/>
        </w:rPr>
        <w:t>Orientação escrita entregue e seguimento agendado.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Manter seguimento ativo, com reavaliações programadas e documentadas até a resolução. Avaliar a necessidade de notificação de evento adverso conforme o POP-N5-17. Revisar internamente o caso para identificar falha de processo na camada de prevenção.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Protocolo terapêutico aprovado pelo serviço, com fonte e data. Documentos 07, 08 e 12 do pacote. Literatura verificada em PubMed e registrada no documento 12, que descreve dor e alteração de cor como sinais mais prevalentes e a intervenção nas primeiras quatro a seis horas como associada a melhor prognóstico, com o desenho e as limitações ali declarados.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POP-N5-05 · Suspeita de comprometimento vascular com envolvimento cutâneo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