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0"/>
      </w:pPr>
    </w:p>
    <w:p>
      <w:pPr>
        <w:spacing w:after="40"/>
        <w:jc w:val="center"/>
      </w:pPr>
      <w:r>
        <w:rPr>
          <w:rFonts w:ascii="Calibri" w:hAnsi="Calibri"/>
          <w:b/>
          <w:i w:val="0"/>
          <w:color w:val="444A52"/>
          <w:sz w:val="24"/>
        </w:rPr>
        <w:t>CONSELHO REGIONAL DE ODONTOLOGIA DE MINAS GERAIS</w:t>
      </w:r>
    </w:p>
    <w:p>
      <w:pPr>
        <w:spacing w:after="40"/>
        <w:jc w:val="center"/>
      </w:pPr>
      <w:r>
        <w:rPr>
          <w:rFonts w:ascii="Calibri" w:hAnsi="Calibri"/>
          <w:b w:val="0"/>
          <w:i w:val="0"/>
          <w:color w:val="444A52"/>
          <w:sz w:val="24"/>
        </w:rPr>
        <w:t>Câmara Técnica de Harmonização Orofacial</w:t>
      </w:r>
    </w:p>
    <w:p>
      <w:pPr>
        <w:spacing w:after="600"/>
        <w:jc w:val="center"/>
      </w:pPr>
      <w:r>
        <w:rPr>
          <w:rFonts w:ascii="Calibri" w:hAnsi="Calibri"/>
          <w:b w:val="0"/>
          <w:i w:val="0"/>
          <w:color w:val="444A52"/>
          <w:sz w:val="24"/>
        </w:rPr>
        <w:t>Núcleo 5 · Inovação, Tecnologias e Segurança Clínica</w:t>
      </w:r>
    </w:p>
    <w:p>
      <w:pPr>
        <w:spacing w:after="200"/>
        <w:jc w:val="center"/>
      </w:pPr>
      <w:r>
        <w:rPr>
          <w:rFonts w:ascii="Calibri" w:hAnsi="Calibri"/>
          <w:b/>
          <w:i w:val="0"/>
          <w:color w:val="8A1C1C"/>
          <w:sz w:val="24"/>
        </w:rPr>
        <w:t>INSTRUMENTO NORMATIVO INTERNO</w:t>
      </w:r>
    </w:p>
    <w:p>
      <w:pPr>
        <w:spacing w:after="160"/>
        <w:jc w:val="center"/>
      </w:pPr>
      <w:r>
        <w:rPr>
          <w:rFonts w:ascii="Calibri" w:hAnsi="Calibri"/>
          <w:b/>
          <w:color w:val="143C64"/>
          <w:sz w:val="48"/>
        </w:rPr>
        <w:t>Modelo Mestre de POP</w:t>
      </w:r>
    </w:p>
    <w:p>
      <w:pPr>
        <w:spacing w:after="720"/>
        <w:jc w:val="center"/>
      </w:pPr>
      <w:r>
        <w:rPr>
          <w:rFonts w:ascii="Calibri" w:hAnsi="Calibri"/>
          <w:b w:val="0"/>
          <w:i w:val="0"/>
          <w:color w:val="444A52"/>
          <w:sz w:val="26"/>
        </w:rPr>
        <w:t>Estrutura única obrigatória para todos os Procedimentos Operacionais Padrão produzidos pelo Núcleo 5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731"/>
        <w:gridCol w:w="5341"/>
      </w:tblGrid>
      <w:tr>
        <w:trPr>
          <w:cantSplit/>
          <w:tblHeader/>
        </w:trPr>
        <w:tc>
          <w:tcPr>
            <w:tcW w:type="dxa" w:w="3731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Identificação do documento</w:t>
            </w:r>
          </w:p>
        </w:tc>
        <w:tc>
          <w:tcPr>
            <w:tcW w:type="dxa" w:w="5341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Registro</w:t>
            </w:r>
          </w:p>
        </w:tc>
      </w:tr>
      <w:tr>
        <w:trPr>
          <w:cantSplit/>
        </w:trPr>
        <w:tc>
          <w:tcPr>
            <w:tcW w:type="dxa" w:w="3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Código de controle</w:t>
            </w:r>
          </w:p>
        </w:tc>
        <w:tc>
          <w:tcPr>
            <w:tcW w:type="dxa" w:w="534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N5-INST-01</w:t>
            </w:r>
          </w:p>
        </w:tc>
      </w:tr>
      <w:tr>
        <w:trPr>
          <w:cantSplit/>
        </w:trPr>
        <w:tc>
          <w:tcPr>
            <w:tcW w:type="dxa" w:w="373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Versão</w:t>
            </w:r>
          </w:p>
        </w:tc>
        <w:tc>
          <w:tcPr>
            <w:tcW w:type="dxa" w:w="534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1.0</w:t>
            </w:r>
          </w:p>
        </w:tc>
      </w:tr>
      <w:tr>
        <w:trPr>
          <w:cantSplit/>
        </w:trPr>
        <w:tc>
          <w:tcPr>
            <w:tcW w:type="dxa" w:w="3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Data de emissão</w:t>
            </w:r>
          </w:p>
        </w:tc>
        <w:tc>
          <w:tcPr>
            <w:tcW w:type="dxa" w:w="534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25 de agosto de 2026</w:t>
            </w:r>
          </w:p>
        </w:tc>
      </w:tr>
      <w:tr>
        <w:trPr>
          <w:cantSplit/>
        </w:trPr>
        <w:tc>
          <w:tcPr>
            <w:tcW w:type="dxa" w:w="373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Situação</w:t>
            </w:r>
          </w:p>
        </w:tc>
        <w:tc>
          <w:tcPr>
            <w:tcW w:type="dxa" w:w="534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Submetido à deliberação do colegiado (Meta M1)</w:t>
            </w:r>
          </w:p>
        </w:tc>
      </w:tr>
      <w:tr>
        <w:trPr>
          <w:cantSplit/>
        </w:trPr>
        <w:tc>
          <w:tcPr>
            <w:tcW w:type="dxa" w:w="3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Elaboração</w:t>
            </w:r>
          </w:p>
        </w:tc>
        <w:tc>
          <w:tcPr>
            <w:tcW w:type="dxa" w:w="534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Núcleo 5 · Inovação, Tecnologias e Segurança Clínica</w:t>
            </w:r>
          </w:p>
        </w:tc>
      </w:tr>
      <w:tr>
        <w:trPr>
          <w:cantSplit/>
        </w:trPr>
        <w:tc>
          <w:tcPr>
            <w:tcW w:type="dxa" w:w="373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Natureza</w:t>
            </w:r>
          </w:p>
        </w:tc>
        <w:tc>
          <w:tcPr>
            <w:tcW w:type="dxa" w:w="534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Documento técnico-consultivo, sem caráter normativo ou disciplinar</w:t>
            </w:r>
          </w:p>
        </w:tc>
      </w:tr>
      <w:tr>
        <w:trPr>
          <w:cantSplit/>
        </w:trPr>
        <w:tc>
          <w:tcPr>
            <w:tcW w:type="dxa" w:w="3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Condição de publicação</w:t>
            </w:r>
          </w:p>
        </w:tc>
        <w:tc>
          <w:tcPr>
            <w:tcW w:type="dxa" w:w="534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Sujeito a validação pela Diretoria Executiva do CRO-MG</w:t>
            </w:r>
          </w:p>
        </w:tc>
      </w:tr>
    </w:tbl>
    <w:p>
      <w:pPr>
        <w:spacing w:after="480"/>
      </w:pPr>
    </w:p>
    <w:p>
      <w:pPr>
        <w:spacing w:after="120"/>
        <w:jc w:val="center"/>
      </w:pPr>
      <w:r>
        <w:rPr>
          <w:rFonts w:ascii="Calibri" w:hAnsi="Calibri"/>
          <w:b w:val="0"/>
          <w:i/>
          <w:color w:val="444A52"/>
          <w:sz w:val="24"/>
        </w:rPr>
        <w:t>Documento de circulação interna do Núcleo 5. Não constitui norma, parecer vinculante ou orientação oficial do CRO-MG enquanto não houver deliberação do colegiado e validação da Diretoria Executiva.</w:t>
      </w:r>
    </w:p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1  Finalidade e natureza do documento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Este documento estabelece a estrutura única que todo Procedimento Operacional Padrão produzido pelo Núcleo 5 deverá seguir. Não é, ele próprio, um POP. É o instrumento que define como os POPs serão escritos, revisados, versionados e auditados.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 necessidade decorre de uma constatação registrada no Relatório Executivo do Núcleo: a determinação de produzir POPs por tecnologia foi tomada sem que houvesse decisão prévia sobre o formato. Sem modelo comum, cada POP assume estrutura própria, o conjunto deixa de ser auditável e a revisão futura torna-se inviável. Aprova-se, portanto, primeiro o modelo, e só depois se produzem os POPs.</w:t>
      </w: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  <w:tblBorders>
          <w:top w:val="single" w:sz="4" w:space="0" w:color="EAF0F6"/>
          <w:bottom w:val="single" w:sz="4" w:space="0" w:color="EAF0F6"/>
          <w:right w:val="single" w:sz="4" w:space="0" w:color="EAF0F6"/>
          <w:insideH w:val="single" w:sz="4" w:space="0" w:color="EAF0F6"/>
          <w:insideV w:val="single" w:sz="4" w:space="0" w:color="EAF0F6"/>
          <w:left w:val="single" w:sz="24" w:space="0" w:color="143C64"/>
        </w:tblBorders>
        <w:tblLayout w:type="fixed"/>
      </w:tblPr>
      <w:tblGrid>
        <w:gridCol w:w="9072"/>
      </w:tblGrid>
      <w:tr>
        <w:tc>
          <w:tcPr>
            <w:tcW w:type="dxa" w:w="9072"/>
            <w:shd w:val="clear" w:color="auto" w:fill="EAF0F6"/>
          </w:tcPr>
          <w:p>
            <w:pPr>
              <w:spacing w:after="60"/>
              <w:jc w:val="left"/>
            </w:pPr>
            <w:r/>
            <w:r>
              <w:rPr>
                <w:rFonts w:ascii="Calibri" w:hAnsi="Calibri"/>
                <w:b/>
                <w:color w:val="143C64"/>
                <w:sz w:val="24"/>
              </w:rPr>
              <w:t>Natureza e limite deste instrumento</w:t>
            </w:r>
          </w:p>
          <w:p>
            <w:pPr>
              <w:spacing w:after="0"/>
              <w:jc w:val="both"/>
            </w:pPr>
            <w:r>
              <w:rPr>
                <w:rFonts w:ascii="Calibri" w:hAnsi="Calibri"/>
                <w:color w:val="1A1A1A"/>
                <w:sz w:val="24"/>
              </w:rPr>
              <w:t>O Núcleo 5 é órgão técnico-consultivo. Este modelo organiza a produção documental interna do colegiado e não cria obrigação para o cirurgião-dentista inscrito, não estabelece padrão de conduta clínica exigível e não substitui norma sanitária, resolução do Conselho Federal de Odontologia ou julgamento clínico individual. Sua eficácia interna depende de deliberação registrada em ata; sua eventual circulação externa depende de validação da Diretoria Executiva.</w:t>
            </w:r>
          </w:p>
        </w:tc>
      </w:tr>
    </w:tbl>
    <w:p>
      <w:pPr>
        <w:spacing w:after="80"/>
      </w:pP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2  Fundamento normativo da exigência de POP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 adoção de Procedimentos Operacionais Padrão em serviços odontológicos deixou de ser boa prática facultativa e passou a integrar exigência sanitária expressa. O quadro abaixo registra a base consultada, com a data da consulta, conforme regra de rastreabilidade adotada pelo Núcleo.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163"/>
        <w:gridCol w:w="5909"/>
      </w:tblGrid>
      <w:tr>
        <w:trPr>
          <w:cantSplit/>
          <w:tblHeader/>
        </w:trPr>
        <w:tc>
          <w:tcPr>
            <w:tcW w:type="dxa" w:w="3163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Norma</w:t>
            </w:r>
          </w:p>
        </w:tc>
        <w:tc>
          <w:tcPr>
            <w:tcW w:type="dxa" w:w="590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O que estabelece quanto a POP</w:t>
            </w:r>
          </w:p>
        </w:tc>
      </w:tr>
      <w:tr>
        <w:trPr>
          <w:cantSplit/>
        </w:trPr>
        <w:tc>
          <w:tcPr>
            <w:tcW w:type="dxa" w:w="316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RDC Anvisa nº 1.002, de 15 de dezembro de 2025</w:t>
            </w:r>
          </w:p>
        </w:tc>
        <w:tc>
          <w:tcPr>
            <w:tcW w:type="dxa" w:w="590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Dispõe sobre Boas Práticas de Funcionamento para serviços que prestam assistência odontológica. Atribui ao Responsável Técnico o dever de elaborar e implementar uma Série de Documentos de Boas Práticas de Funcionamento, composta por rotinas, protocolos técnicos padronizados, Procedimentos Operacionais Padrão e planos do serviço. Fixa prazo de 360 dias, contados da publicação, para as adequações necessárias.</w:t>
            </w:r>
          </w:p>
        </w:tc>
      </w:tr>
      <w:tr>
        <w:trPr>
          <w:cantSplit/>
        </w:trPr>
        <w:tc>
          <w:tcPr>
            <w:tcW w:type="dxa" w:w="316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RDC Anvisa nº 63, de 25 de novembro de 2011</w:t>
            </w:r>
          </w:p>
        </w:tc>
        <w:tc>
          <w:tcPr>
            <w:tcW w:type="dxa" w:w="590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Requisitos de Boas Práticas de Funcionamento para os serviços de saúde. Permanece exigível de forma cumulativa, por remissão expressa contida na RDC nº 1.002/2025.</w:t>
            </w:r>
          </w:p>
        </w:tc>
      </w:tr>
      <w:tr>
        <w:trPr>
          <w:cantSplit/>
        </w:trPr>
        <w:tc>
          <w:tcPr>
            <w:tcW w:type="dxa" w:w="316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RDC Anvisa nº 509, de 27 de maio de 2021</w:t>
            </w:r>
          </w:p>
        </w:tc>
        <w:tc>
          <w:tcPr>
            <w:tcW w:type="dxa" w:w="590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Gerenciamento de tecnologias em saúde em estabelecimentos de saúde. Incide sobre equipamentos, manutenção, rastreabilidade e notificação de eventos adversos, matéria que deve ser refletida nos campos 3, 5 e 9 deste modelo.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  <w:tblBorders>
          <w:top w:val="single" w:sz="4" w:space="0" w:color="FDF4E6"/>
          <w:bottom w:val="single" w:sz="4" w:space="0" w:color="FDF4E6"/>
          <w:right w:val="single" w:sz="4" w:space="0" w:color="FDF4E6"/>
          <w:insideH w:val="single" w:sz="4" w:space="0" w:color="FDF4E6"/>
          <w:insideV w:val="single" w:sz="4" w:space="0" w:color="FDF4E6"/>
          <w:left w:val="single" w:sz="24" w:space="0" w:color="A66A00"/>
        </w:tblBorders>
        <w:tblLayout w:type="fixed"/>
      </w:tblPr>
      <w:tblGrid>
        <w:gridCol w:w="9072"/>
      </w:tblGrid>
      <w:tr>
        <w:tc>
          <w:tcPr>
            <w:tcW w:type="dxa" w:w="9072"/>
            <w:shd w:val="clear" w:color="auto" w:fill="FDF4E6"/>
          </w:tcPr>
          <w:p>
            <w:pPr>
              <w:spacing w:after="60"/>
              <w:jc w:val="left"/>
            </w:pPr>
            <w:r/>
            <w:r>
              <w:rPr>
                <w:rFonts w:ascii="Calibri" w:hAnsi="Calibri"/>
                <w:b/>
                <w:color w:val="143C64"/>
                <w:sz w:val="24"/>
              </w:rPr>
              <w:t>Consequência prática de prazo</w:t>
            </w:r>
          </w:p>
          <w:p>
            <w:pPr>
              <w:spacing w:after="0"/>
              <w:jc w:val="both"/>
            </w:pPr>
            <w:r>
              <w:rPr>
                <w:rFonts w:ascii="Calibri" w:hAnsi="Calibri"/>
                <w:color w:val="1A1A1A"/>
                <w:sz w:val="24"/>
              </w:rPr>
              <w:t>O prazo de adequação da RDC nº 1.002/2025 encerra-se em dezembro de 2026, mês de encerramento do ciclo do Núcleo. Os POPs produzidos neste ciclo alcançam os inscritos exatamente no período em que a adequação sanitária se torna exigível. Esse alinhamento deve ser registrado em ata como justificativa institucional da priorização da Meta M1.</w:t>
            </w:r>
          </w:p>
        </w:tc>
      </w:tr>
    </w:tbl>
    <w:p>
      <w:pPr>
        <w:spacing w:after="80"/>
      </w:pP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3  Regras gerais de uso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As regras abaixo condicionam a validade interna de qualquer POP produzido no âmbito do Núcleo 5.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Nenhum POP será aceito para revisão por par se não contiver os doze campos previstos no item 5, ainda que algum campo seja preenchido com a expressão “não aplicável”, acompanhada da justificativa.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Todo POP identifica a fonte e a data de consulta da informação regulatória que invoca. Informação regulatória sem data de consulta é considerada não verificada.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Nenhum POP menciona marca comercial, nome de fabricante ou denominação de produto específico, salvo quando a identificação for tecnicamente indispensável, hipótese em que deverá constar justificativa no campo 12.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Nenhum POP duplica conteúdo de fluxograma de intercorrência. O campo 9 remete ao fluxograma correspondente, para que a atualização do fluxo não exija revisão de todos os POPs.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Todo POP declara o grau de sustentação da evidência das afirmações clínicas que contiver, conforme item 6.</w:t>
      </w:r>
    </w:p>
    <w:p>
      <w:pPr>
        <w:pStyle w:val="ListNumber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Todo POP é revisado por par que não tenha participado de sua redação, conforme item 7.</w:t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4  Codificação, versionamento e controle documental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 nomenclatura segue o padrão de repositório já adotado pelo Núcleo, na forma N5_TIPO_TEMA_Versao_Data_Status. Para os POPs, aplica-se a codificação específica abaixo.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552"/>
        <w:gridCol w:w="4373"/>
        <w:gridCol w:w="2147"/>
      </w:tblGrid>
      <w:tr>
        <w:trPr>
          <w:cantSplit/>
          <w:tblHeader/>
        </w:trPr>
        <w:tc>
          <w:tcPr>
            <w:tcW w:type="dxa" w:w="2552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Elemento</w:t>
            </w:r>
          </w:p>
        </w:tc>
        <w:tc>
          <w:tcPr>
            <w:tcW w:type="dxa" w:w="4373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Formato</w:t>
            </w:r>
          </w:p>
        </w:tc>
        <w:tc>
          <w:tcPr>
            <w:tcW w:type="dxa" w:w="214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Exemplo</w:t>
            </w:r>
          </w:p>
        </w:tc>
      </w:tr>
      <w:tr>
        <w:trPr>
          <w:cantSplit/>
        </w:trPr>
        <w:tc>
          <w:tcPr>
            <w:tcW w:type="dxa" w:w="255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Prefixo do Núcleo</w:t>
            </w:r>
          </w:p>
        </w:tc>
        <w:tc>
          <w:tcPr>
            <w:tcW w:type="dxa" w:w="437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N5</w:t>
            </w:r>
          </w:p>
        </w:tc>
        <w:tc>
          <w:tcPr>
            <w:tcW w:type="dxa" w:w="214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N5</w:t>
            </w:r>
          </w:p>
        </w:tc>
      </w:tr>
      <w:tr>
        <w:trPr>
          <w:cantSplit/>
        </w:trPr>
        <w:tc>
          <w:tcPr>
            <w:tcW w:type="dxa" w:w="255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Tipo documental</w:t>
            </w:r>
          </w:p>
        </w:tc>
        <w:tc>
          <w:tcPr>
            <w:tcW w:type="dxa" w:w="437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</w:t>
            </w:r>
          </w:p>
        </w:tc>
        <w:tc>
          <w:tcPr>
            <w:tcW w:type="dxa" w:w="214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</w:t>
            </w:r>
          </w:p>
        </w:tc>
      </w:tr>
      <w:tr>
        <w:trPr>
          <w:cantSplit/>
        </w:trPr>
        <w:tc>
          <w:tcPr>
            <w:tcW w:type="dxa" w:w="255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Onda de produção</w:t>
            </w:r>
          </w:p>
        </w:tc>
        <w:tc>
          <w:tcPr>
            <w:tcW w:type="dxa" w:w="437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O1 (injetáveis e intercorrência) ou O2 (energia e apoio cirúrgico)</w:t>
            </w:r>
          </w:p>
        </w:tc>
        <w:tc>
          <w:tcPr>
            <w:tcW w:type="dxa" w:w="214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O1</w:t>
            </w:r>
          </w:p>
        </w:tc>
      </w:tr>
      <w:tr>
        <w:trPr>
          <w:cantSplit/>
        </w:trPr>
        <w:tc>
          <w:tcPr>
            <w:tcW w:type="dxa" w:w="255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Sequencial</w:t>
            </w:r>
          </w:p>
        </w:tc>
        <w:tc>
          <w:tcPr>
            <w:tcW w:type="dxa" w:w="437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Dois dígitos, atribuídos pela Secretaria</w:t>
            </w:r>
          </w:p>
        </w:tc>
        <w:tc>
          <w:tcPr>
            <w:tcW w:type="dxa" w:w="214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03</w:t>
            </w:r>
          </w:p>
        </w:tc>
      </w:tr>
      <w:tr>
        <w:trPr>
          <w:cantSplit/>
        </w:trPr>
        <w:tc>
          <w:tcPr>
            <w:tcW w:type="dxa" w:w="255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Versão</w:t>
            </w:r>
          </w:p>
        </w:tc>
        <w:tc>
          <w:tcPr>
            <w:tcW w:type="dxa" w:w="437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Maior.menor, iniciando em 0.1</w:t>
            </w:r>
          </w:p>
        </w:tc>
        <w:tc>
          <w:tcPr>
            <w:tcW w:type="dxa" w:w="214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0.1</w:t>
            </w:r>
          </w:p>
        </w:tc>
      </w:tr>
      <w:tr>
        <w:trPr>
          <w:cantSplit/>
        </w:trPr>
        <w:tc>
          <w:tcPr>
            <w:tcW w:type="dxa" w:w="255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Situação</w:t>
            </w:r>
          </w:p>
        </w:tc>
        <w:tc>
          <w:tcPr>
            <w:tcW w:type="dxa" w:w="437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Rascunho, revisão por par, revisão regulatória, aprovado internamente, submetido à Diretoria, aprovado institucionalmente</w:t>
            </w:r>
          </w:p>
        </w:tc>
        <w:tc>
          <w:tcPr>
            <w:tcW w:type="dxa" w:w="214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Rascunho</w:t>
            </w:r>
          </w:p>
        </w:tc>
      </w:tr>
    </w:tbl>
    <w:p>
      <w:pPr>
        <w:spacing w:after="80"/>
      </w:pP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Exemplo de identificador completo: N5_POP_O1_03_v0.1_2026-09-15_Rascunho.</w:t>
      </w:r>
    </w:p>
    <w:p>
      <w:pPr>
        <w:keepNext/>
        <w:spacing w:before="200" w:after="60"/>
        <w:jc w:val="left"/>
      </w:pPr>
      <w:r>
        <w:rPr>
          <w:rFonts w:ascii="Calibri" w:hAnsi="Calibri"/>
          <w:b/>
          <w:color w:val="444A52"/>
          <w:sz w:val="24"/>
        </w:rPr>
        <w:t>Regra de progressão de versão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Versão 0.x: documento em elaboração ou em revisão interna, sem qualquer circulação externa.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Versão 0.9: documento com revisões científica e regulatória concluídas, apto à submissão.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Versão 1.0: documento aprovado institucionalmente pela Diretoria Executiva.</w:t>
      </w:r>
    </w:p>
    <w:p>
      <w:pPr>
        <w:pStyle w:val="ListBullet"/>
        <w:spacing w:after="60"/>
        <w:ind w:left="397"/>
        <w:jc w:val="both"/>
      </w:pPr>
      <w:r>
        <w:rPr>
          <w:rFonts w:ascii="Calibri" w:hAnsi="Calibri"/>
          <w:color w:val="1A1A1A"/>
          <w:sz w:val="24"/>
        </w:rPr>
        <w:t>Nenhum arquivo circula com a designação “final” antes da aprovação institucional.</w:t>
      </w:r>
    </w:p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5  Estrutura obrigatória: os doze campos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 estrutura abaixo consolida o modelo proposto no Relatório Executivo Estratégico e Operacional do Núcleo 5. Cada campo tem função de governança declarada, de modo que a supressão de qualquer um deles produza perda identificável, e não apenas encurtamento do texto.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960"/>
        <w:gridCol w:w="3144"/>
        <w:gridCol w:w="2968"/>
      </w:tblGrid>
      <w:tr>
        <w:trPr>
          <w:cantSplit/>
          <w:tblHeader/>
        </w:trPr>
        <w:tc>
          <w:tcPr>
            <w:tcW w:type="dxa" w:w="2960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Campo</w:t>
            </w:r>
          </w:p>
        </w:tc>
        <w:tc>
          <w:tcPr>
            <w:tcW w:type="dxa" w:w="314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Conteúdo exigido</w:t>
            </w:r>
          </w:p>
        </w:tc>
        <w:tc>
          <w:tcPr>
            <w:tcW w:type="dxa" w:w="2968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Função de governança</w:t>
            </w:r>
          </w:p>
        </w:tc>
      </w:tr>
      <w:tr>
        <w:trPr>
          <w:cantSplit/>
        </w:trPr>
        <w:tc>
          <w:tcPr>
            <w:tcW w:type="dxa" w:w="296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1. Identificação</w:t>
            </w:r>
          </w:p>
        </w:tc>
        <w:tc>
          <w:tcPr>
            <w:tcW w:type="dxa" w:w="31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Título, código, versão, data de emissão, data da próxima revisão e responsável técnico pela redação.</w:t>
            </w:r>
          </w:p>
        </w:tc>
        <w:tc>
          <w:tcPr>
            <w:tcW w:type="dxa" w:w="296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Permite rastrear vigência, autoria e ciclo de revisão.</w:t>
            </w:r>
          </w:p>
        </w:tc>
      </w:tr>
      <w:tr>
        <w:trPr>
          <w:cantSplit/>
        </w:trPr>
        <w:tc>
          <w:tcPr>
            <w:tcW w:type="dxa" w:w="296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2. Objetivo e alcance</w:t>
            </w:r>
          </w:p>
        </w:tc>
        <w:tc>
          <w:tcPr>
            <w:tcW w:type="dxa" w:w="31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Finalidade do procedimento, a quem se aplica e, expressamente, o que o POP não cobre.</w:t>
            </w:r>
          </w:p>
        </w:tc>
        <w:tc>
          <w:tcPr>
            <w:tcW w:type="dxa" w:w="296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Delimita escopo e impede aplicação analógica indevida.</w:t>
            </w:r>
          </w:p>
        </w:tc>
      </w:tr>
      <w:tr>
        <w:trPr>
          <w:cantSplit/>
        </w:trPr>
        <w:tc>
          <w:tcPr>
            <w:tcW w:type="dxa" w:w="296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3. Situação regulatória</w:t>
            </w:r>
          </w:p>
        </w:tc>
        <w:tc>
          <w:tcPr>
            <w:tcW w:type="dxa" w:w="31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Situação de regularização do produto ou equipamento e indicação de uso aprovada, com identificação da base consultada e da data da consulta.</w:t>
            </w:r>
          </w:p>
        </w:tc>
        <w:tc>
          <w:tcPr>
            <w:tcW w:type="dxa" w:w="296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Separa uso conforme de uso fora da indicação aprovada.</w:t>
            </w:r>
          </w:p>
        </w:tc>
      </w:tr>
      <w:tr>
        <w:trPr>
          <w:cantSplit/>
        </w:trPr>
        <w:tc>
          <w:tcPr>
            <w:tcW w:type="dxa" w:w="296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4. Competência exigida</w:t>
            </w:r>
          </w:p>
        </w:tc>
        <w:tc>
          <w:tcPr>
            <w:tcW w:type="dxa" w:w="31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Formação, habilitação e capacitação necessárias à execução, com remissão à norma que a sustenta.</w:t>
            </w:r>
          </w:p>
        </w:tc>
        <w:tc>
          <w:tcPr>
            <w:tcW w:type="dxa" w:w="296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Vincula execução a competência declarada e verificável.</w:t>
            </w:r>
          </w:p>
        </w:tc>
      </w:tr>
      <w:tr>
        <w:trPr>
          <w:cantSplit/>
        </w:trPr>
        <w:tc>
          <w:tcPr>
            <w:tcW w:type="dxa" w:w="296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5. Materiais e equipamentos</w:t>
            </w:r>
          </w:p>
        </w:tc>
        <w:tc>
          <w:tcPr>
            <w:tcW w:type="dxa" w:w="31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Lista completa, incluindo itens de segurança e de manejo de intercorrência que devem estar disponíveis antes do início.</w:t>
            </w:r>
          </w:p>
        </w:tc>
        <w:tc>
          <w:tcPr>
            <w:tcW w:type="dxa" w:w="296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Torna a prontidão verificável, e não presumida.</w:t>
            </w:r>
          </w:p>
        </w:tc>
      </w:tr>
      <w:tr>
        <w:trPr>
          <w:cantSplit/>
        </w:trPr>
        <w:tc>
          <w:tcPr>
            <w:tcW w:type="dxa" w:w="296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6. Verificações prévias</w:t>
            </w:r>
          </w:p>
        </w:tc>
        <w:tc>
          <w:tcPr>
            <w:tcW w:type="dxa" w:w="31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Checklist do que deve estar confirmado antes de iniciar: anamnese, contraindicações, documentação assinada e conferência do equipamento.</w:t>
            </w:r>
          </w:p>
        </w:tc>
        <w:tc>
          <w:tcPr>
            <w:tcW w:type="dxa" w:w="296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Concentra no pré-procedimento as barreiras de menor custo.</w:t>
            </w:r>
          </w:p>
        </w:tc>
      </w:tr>
      <w:tr>
        <w:trPr>
          <w:cantSplit/>
        </w:trPr>
        <w:tc>
          <w:tcPr>
            <w:tcW w:type="dxa" w:w="296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7. Execução</w:t>
            </w:r>
          </w:p>
        </w:tc>
        <w:tc>
          <w:tcPr>
            <w:tcW w:type="dxa" w:w="31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Descrição sequencial da técnica, com parâmetros quando aplicável e com o grau de evidência de cada parâmetro declarado.</w:t>
            </w:r>
          </w:p>
        </w:tc>
        <w:tc>
          <w:tcPr>
            <w:tcW w:type="dxa" w:w="296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Estabelece sequência reproduzível e auditável.</w:t>
            </w:r>
          </w:p>
        </w:tc>
      </w:tr>
      <w:tr>
        <w:trPr>
          <w:cantSplit/>
        </w:trPr>
        <w:tc>
          <w:tcPr>
            <w:tcW w:type="dxa" w:w="296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8. Sinais de alerta</w:t>
            </w:r>
          </w:p>
        </w:tc>
        <w:tc>
          <w:tcPr>
            <w:tcW w:type="dxa" w:w="31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Sinais que determinam interrupção imediata do procedimento, descritos de forma observável.</w:t>
            </w:r>
          </w:p>
        </w:tc>
        <w:tc>
          <w:tcPr>
            <w:tcW w:type="dxa" w:w="296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Define o gatilho de parada segura.</w:t>
            </w:r>
          </w:p>
        </w:tc>
      </w:tr>
      <w:tr>
        <w:trPr>
          <w:cantSplit/>
        </w:trPr>
        <w:tc>
          <w:tcPr>
            <w:tcW w:type="dxa" w:w="296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9. Conduta em intercorrência</w:t>
            </w:r>
          </w:p>
        </w:tc>
        <w:tc>
          <w:tcPr>
            <w:tcW w:type="dxa" w:w="31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Remissão ao fluxograma correspondente, sem duplicar seu conteúdo, e indicação do encaminhamento previsto.</w:t>
            </w:r>
          </w:p>
        </w:tc>
        <w:tc>
          <w:tcPr>
            <w:tcW w:type="dxa" w:w="296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Mantém fluxo e POP sincronizados sem revisão em cascata.</w:t>
            </w:r>
          </w:p>
        </w:tc>
      </w:tr>
      <w:tr>
        <w:trPr>
          <w:cantSplit/>
        </w:trPr>
        <w:tc>
          <w:tcPr>
            <w:tcW w:type="dxa" w:w="296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10. Registro</w:t>
            </w:r>
          </w:p>
        </w:tc>
        <w:tc>
          <w:tcPr>
            <w:tcW w:type="dxa" w:w="31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 que deve constar do prontuário, incluindo lote, região anatômica e parâmetros utilizados.</w:t>
            </w:r>
          </w:p>
        </w:tc>
        <w:tc>
          <w:tcPr>
            <w:tcW w:type="dxa" w:w="296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Sustenta rastreabilidade e defesa técnica documental.</w:t>
            </w:r>
          </w:p>
        </w:tc>
      </w:tr>
      <w:tr>
        <w:trPr>
          <w:cantSplit/>
        </w:trPr>
        <w:tc>
          <w:tcPr>
            <w:tcW w:type="dxa" w:w="296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11. Pós-procedimento</w:t>
            </w:r>
          </w:p>
        </w:tc>
        <w:tc>
          <w:tcPr>
            <w:tcW w:type="dxa" w:w="31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Orientações ao paciente, sinais que exigem contato imediato, canal de contato e rotina de acompanhamento ativo com registro.</w:t>
            </w:r>
          </w:p>
        </w:tc>
        <w:tc>
          <w:tcPr>
            <w:tcW w:type="dxa" w:w="296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Reduz o intervalo entre o sinal e a resposta profissional.</w:t>
            </w:r>
          </w:p>
        </w:tc>
      </w:tr>
      <w:tr>
        <w:trPr>
          <w:cantSplit/>
        </w:trPr>
        <w:tc>
          <w:tcPr>
            <w:tcW w:type="dxa" w:w="296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12. Referências e controle de revisão</w:t>
            </w:r>
          </w:p>
        </w:tc>
        <w:tc>
          <w:tcPr>
            <w:tcW w:type="dxa" w:w="31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Fontes utilizadas, com desenho de estudo quando científicas; histórico de versões; justificativa de eventual menção a produto; declaração de conflito de interesses dos redatores.</w:t>
            </w:r>
          </w:p>
        </w:tc>
        <w:tc>
          <w:tcPr>
            <w:tcW w:type="dxa" w:w="296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Fecha o ciclo de rastreabilidade e expõe conflitos.</w:t>
            </w:r>
          </w:p>
        </w:tc>
      </w:tr>
    </w:tbl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6  Regra de gradação de evidência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Toda afirmação clínica contida em um POP deve vir acompanhada da indicação do grau de sustentação da evidência que a suporta. A regra não é estilística. Ela impede que consenso interno, prática consolidada e demonstração científica sejam apresentados no mesmo registro de autoridade.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494"/>
        <w:gridCol w:w="3875"/>
        <w:gridCol w:w="2702"/>
      </w:tblGrid>
      <w:tr>
        <w:trPr>
          <w:cantSplit/>
          <w:tblHeader/>
        </w:trPr>
        <w:tc>
          <w:tcPr>
            <w:tcW w:type="dxa" w:w="249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Grau</w:t>
            </w:r>
          </w:p>
        </w:tc>
        <w:tc>
          <w:tcPr>
            <w:tcW w:type="dxa" w:w="3875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Significado</w:t>
            </w:r>
          </w:p>
        </w:tc>
        <w:tc>
          <w:tcPr>
            <w:tcW w:type="dxa" w:w="2702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Formulação admitida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A. Evidência consolidada</w:t>
            </w:r>
          </w:p>
        </w:tc>
        <w:tc>
          <w:tcPr>
            <w:tcW w:type="dxa" w:w="387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Sustentada por revisão sistemática, ensaio clínico ou corpo consistente de estudos, com desenho e limitações descritos.</w:t>
            </w:r>
          </w:p>
        </w:tc>
        <w:tc>
          <w:tcPr>
            <w:tcW w:type="dxa" w:w="270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“Há evidência consolidada de que…”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B. Evidência limitada</w:t>
            </w:r>
          </w:p>
        </w:tc>
        <w:tc>
          <w:tcPr>
            <w:tcW w:type="dxa" w:w="387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Sustentada por estudos observacionais, séries de casos ou estudos de reprodutibilidade, sem validação diagnóstica ou terapêutica estabelecida.</w:t>
            </w:r>
          </w:p>
        </w:tc>
        <w:tc>
          <w:tcPr>
            <w:tcW w:type="dxa" w:w="270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“A evidência disponível é limitada e sugere…”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C. Consenso técnico</w:t>
            </w:r>
          </w:p>
        </w:tc>
        <w:tc>
          <w:tcPr>
            <w:tcW w:type="dxa" w:w="387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Sem sustentação em literatura indexada suficiente; decorre de prática consolidada e deliberação do colegiado.</w:t>
            </w:r>
          </w:p>
        </w:tc>
        <w:tc>
          <w:tcPr>
            <w:tcW w:type="dxa" w:w="270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“Na ausência de evidência suficiente, o Núcleo adota como orientação…”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D. Lacuna declarada</w:t>
            </w:r>
          </w:p>
        </w:tc>
        <w:tc>
          <w:tcPr>
            <w:tcW w:type="dxa" w:w="387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Busca estruturada realizada sem retorno relevante, ou matéria sem estudo disponível.</w:t>
            </w:r>
          </w:p>
        </w:tc>
        <w:tc>
          <w:tcPr>
            <w:tcW w:type="dxa" w:w="270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“Não foram localizados estudos que sustentem…”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  <w:tblBorders>
          <w:top w:val="single" w:sz="4" w:space="0" w:color="FBEDED"/>
          <w:bottom w:val="single" w:sz="4" w:space="0" w:color="FBEDED"/>
          <w:right w:val="single" w:sz="4" w:space="0" w:color="FBEDED"/>
          <w:insideH w:val="single" w:sz="4" w:space="0" w:color="FBEDED"/>
          <w:insideV w:val="single" w:sz="4" w:space="0" w:color="FBEDED"/>
          <w:left w:val="single" w:sz="24" w:space="0" w:color="8A1C1C"/>
        </w:tblBorders>
        <w:tblLayout w:type="fixed"/>
      </w:tblPr>
      <w:tblGrid>
        <w:gridCol w:w="9072"/>
      </w:tblGrid>
      <w:tr>
        <w:tc>
          <w:tcPr>
            <w:tcW w:type="dxa" w:w="9072"/>
            <w:shd w:val="clear" w:color="auto" w:fill="FBEDED"/>
          </w:tcPr>
          <w:p>
            <w:pPr>
              <w:spacing w:after="60"/>
              <w:jc w:val="left"/>
            </w:pPr>
            <w:r/>
            <w:r>
              <w:rPr>
                <w:rFonts w:ascii="Calibri" w:hAnsi="Calibri"/>
                <w:b/>
                <w:color w:val="143C64"/>
                <w:sz w:val="24"/>
              </w:rPr>
              <w:t>Vedação expressa de linguagem</w:t>
            </w:r>
          </w:p>
          <w:p>
            <w:pPr>
              <w:spacing w:after="0"/>
              <w:jc w:val="both"/>
            </w:pPr>
            <w:r>
              <w:rPr>
                <w:rFonts w:ascii="Calibri" w:hAnsi="Calibri"/>
                <w:color w:val="1A1A1A"/>
                <w:sz w:val="24"/>
              </w:rPr>
              <w:t>São vedadas, em qualquer POP, formulações determinísticas ou superlativas que não correspondam ao grau de evidência declarado. Expressões como “padrão-ouro”, “garante segurança”, “elimina o risco” ou “resultado previsível” não serão aceitas na revisão por par. Quando o recurso for efetivamente valioso, a formulação admitida é a descrição de sua aplicação, de suas condições e de seus limites.</w:t>
            </w:r>
          </w:p>
        </w:tc>
      </w:tr>
    </w:tbl>
    <w:p>
      <w:pPr>
        <w:spacing w:after="80"/>
      </w:pP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7  Fluxo de elaboração, revisão e aprovação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124"/>
        <w:gridCol w:w="2731"/>
        <w:gridCol w:w="3216"/>
      </w:tblGrid>
      <w:tr>
        <w:trPr>
          <w:cantSplit/>
          <w:tblHeader/>
        </w:trPr>
        <w:tc>
          <w:tcPr>
            <w:tcW w:type="dxa" w:w="312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Etapa</w:t>
            </w:r>
          </w:p>
        </w:tc>
        <w:tc>
          <w:tcPr>
            <w:tcW w:type="dxa" w:w="2731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Responsável</w:t>
            </w:r>
          </w:p>
        </w:tc>
        <w:tc>
          <w:tcPr>
            <w:tcW w:type="dxa" w:w="3216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Produto e critério de aceite</w:t>
            </w:r>
          </w:p>
        </w:tc>
      </w:tr>
      <w:tr>
        <w:trPr>
          <w:cantSplit/>
        </w:trPr>
        <w:tc>
          <w:tcPr>
            <w:tcW w:type="dxa" w:w="312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1. Redação</w:t>
            </w:r>
          </w:p>
        </w:tc>
        <w:tc>
          <w:tcPr>
            <w:tcW w:type="dxa" w:w="2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Membro designado da frente</w:t>
            </w:r>
          </w:p>
        </w:tc>
        <w:tc>
          <w:tcPr>
            <w:tcW w:type="dxa" w:w="321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Minuta em versão 0.1, com os doze campos preenchidos.</w:t>
            </w:r>
          </w:p>
        </w:tc>
      </w:tr>
      <w:tr>
        <w:trPr>
          <w:cantSplit/>
        </w:trPr>
        <w:tc>
          <w:tcPr>
            <w:tcW w:type="dxa" w:w="312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2. Revisão por par</w:t>
            </w:r>
          </w:p>
        </w:tc>
        <w:tc>
          <w:tcPr>
            <w:tcW w:type="dxa" w:w="273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Membro que não participou da redação</w:t>
            </w:r>
          </w:p>
        </w:tc>
        <w:tc>
          <w:tcPr>
            <w:tcW w:type="dxa" w:w="321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Checklist do Anexo B integralmente preenchido, com pendências apontadas por escrito.</w:t>
            </w:r>
          </w:p>
        </w:tc>
      </w:tr>
      <w:tr>
        <w:trPr>
          <w:cantSplit/>
        </w:trPr>
        <w:tc>
          <w:tcPr>
            <w:tcW w:type="dxa" w:w="312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3. Revisão regulatória</w:t>
            </w:r>
          </w:p>
        </w:tc>
        <w:tc>
          <w:tcPr>
            <w:tcW w:type="dxa" w:w="2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Membro designado para a frente regulatória</w:t>
            </w:r>
          </w:p>
        </w:tc>
        <w:tc>
          <w:tcPr>
            <w:tcW w:type="dxa" w:w="321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Conferência das bases citadas no campo 3 e da data de consulta.</w:t>
            </w:r>
          </w:p>
        </w:tc>
      </w:tr>
      <w:tr>
        <w:trPr>
          <w:cantSplit/>
        </w:trPr>
        <w:tc>
          <w:tcPr>
            <w:tcW w:type="dxa" w:w="312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4. Consolidação</w:t>
            </w:r>
          </w:p>
        </w:tc>
        <w:tc>
          <w:tcPr>
            <w:tcW w:type="dxa" w:w="273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Secretaria do Núcleo</w:t>
            </w:r>
          </w:p>
        </w:tc>
        <w:tc>
          <w:tcPr>
            <w:tcW w:type="dxa" w:w="321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Versão 0.9, com pendências críticas zeradas e histórico de versões registrado.</w:t>
            </w:r>
          </w:p>
        </w:tc>
      </w:tr>
      <w:tr>
        <w:trPr>
          <w:cantSplit/>
        </w:trPr>
        <w:tc>
          <w:tcPr>
            <w:tcW w:type="dxa" w:w="312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5. Deliberação do Núcleo</w:t>
            </w:r>
          </w:p>
        </w:tc>
        <w:tc>
          <w:tcPr>
            <w:tcW w:type="dxa" w:w="273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Colegiado</w:t>
            </w:r>
          </w:p>
        </w:tc>
        <w:tc>
          <w:tcPr>
            <w:tcW w:type="dxa" w:w="321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Aprovação registrada em ata, com o documento anexado.</w:t>
            </w:r>
          </w:p>
        </w:tc>
      </w:tr>
      <w:tr>
        <w:trPr>
          <w:cantSplit/>
        </w:trPr>
        <w:tc>
          <w:tcPr>
            <w:tcW w:type="dxa" w:w="312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6. Submissão institucional</w:t>
            </w:r>
          </w:p>
        </w:tc>
        <w:tc>
          <w:tcPr>
            <w:tcW w:type="dxa" w:w="273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Núcleo 5</w:t>
            </w:r>
          </w:p>
        </w:tc>
        <w:tc>
          <w:tcPr>
            <w:tcW w:type="dxa" w:w="321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Protocolo de submissão à Diretoria Executiva do CRO-MG.</w:t>
            </w:r>
          </w:p>
        </w:tc>
      </w:tr>
    </w:tbl>
    <w:p>
      <w:pPr>
        <w:spacing w:after="80"/>
      </w:pP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As etapas 5 e 6 não são atos de produção documental e não estão sob governo do redator. A entrega técnica do Núcleo encerra-se na etapa 4.</w:t>
      </w:r>
    </w:p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Anexo A. Formulário de POP em branco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O formulário abaixo é o instrumento de trabalho. Deve ser copiado integralmente para cada novo POP, preservada a numeração e a ordem dos campos.</w:t>
      </w:r>
    </w:p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4313"/>
        <w:gridCol w:w="4759"/>
      </w:tblGrid>
      <w:tr>
        <w:trPr>
          <w:cantSplit/>
          <w:tblHeader/>
        </w:trPr>
        <w:tc>
          <w:tcPr>
            <w:tcW w:type="dxa" w:w="4313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Campo</w:t>
            </w:r>
          </w:p>
        </w:tc>
        <w:tc>
          <w:tcPr>
            <w:tcW w:type="dxa" w:w="475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Preenchimento</w:t>
            </w:r>
          </w:p>
        </w:tc>
      </w:tr>
      <w:tr>
        <w:trPr>
          <w:cantSplit/>
        </w:trPr>
        <w:tc>
          <w:tcPr>
            <w:tcW w:type="dxa" w:w="431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1. Identificação</w:t>
            </w:r>
          </w:p>
        </w:tc>
        <w:tc>
          <w:tcPr>
            <w:tcW w:type="dxa" w:w="475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Título: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Código: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Versão: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Data de emissão: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Próxima revisão: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Redator responsável:</w:t>
            </w:r>
          </w:p>
        </w:tc>
      </w:tr>
      <w:tr>
        <w:trPr>
          <w:cantSplit/>
        </w:trPr>
        <w:tc>
          <w:tcPr>
            <w:tcW w:type="dxa" w:w="431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2. Objetivo e alcance</w:t>
            </w:r>
          </w:p>
        </w:tc>
        <w:tc>
          <w:tcPr>
            <w:tcW w:type="dxa" w:w="475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Finalidade: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Aplica-se a: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Não se aplica a:</w:t>
            </w:r>
          </w:p>
        </w:tc>
      </w:tr>
      <w:tr>
        <w:trPr>
          <w:cantSplit/>
        </w:trPr>
        <w:tc>
          <w:tcPr>
            <w:tcW w:type="dxa" w:w="431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3. Situação regulatória</w:t>
            </w:r>
          </w:p>
        </w:tc>
        <w:tc>
          <w:tcPr>
            <w:tcW w:type="dxa" w:w="475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Situação de regularização: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Indicação de uso aprovada: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Base consultada: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Data da consulta:</w:t>
            </w:r>
          </w:p>
        </w:tc>
      </w:tr>
      <w:tr>
        <w:trPr>
          <w:cantSplit/>
        </w:trPr>
        <w:tc>
          <w:tcPr>
            <w:tcW w:type="dxa" w:w="431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4. Competência exigida</w:t>
            </w:r>
          </w:p>
        </w:tc>
        <w:tc>
          <w:tcPr>
            <w:tcW w:type="dxa" w:w="475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Formação e habilitação: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Norma que sustenta a exigência:</w:t>
            </w:r>
          </w:p>
        </w:tc>
      </w:tr>
      <w:tr>
        <w:trPr>
          <w:cantSplit/>
        </w:trPr>
        <w:tc>
          <w:tcPr>
            <w:tcW w:type="dxa" w:w="431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5. Materiais e equipamentos</w:t>
            </w:r>
          </w:p>
        </w:tc>
        <w:tc>
          <w:tcPr>
            <w:tcW w:type="dxa" w:w="475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Materiais do procedimento: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Itens de segurança e de manejo de intercorrência:</w:t>
            </w:r>
          </w:p>
        </w:tc>
      </w:tr>
      <w:tr>
        <w:trPr>
          <w:cantSplit/>
        </w:trPr>
        <w:tc>
          <w:tcPr>
            <w:tcW w:type="dxa" w:w="431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6. Verificações prévias</w:t>
            </w:r>
          </w:p>
        </w:tc>
        <w:tc>
          <w:tcPr>
            <w:tcW w:type="dxa" w:w="475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Anamnese: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Contraindicações verificadas: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Documentação assinada: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Conferência de equipamento:</w:t>
            </w:r>
          </w:p>
        </w:tc>
      </w:tr>
      <w:tr>
        <w:trPr>
          <w:cantSplit/>
        </w:trPr>
        <w:tc>
          <w:tcPr>
            <w:tcW w:type="dxa" w:w="431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7. Execução</w:t>
            </w:r>
          </w:p>
        </w:tc>
        <w:tc>
          <w:tcPr>
            <w:tcW w:type="dxa" w:w="475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Sequência: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Parâmetros: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Grau de evidência de cada parâmetro:</w:t>
            </w:r>
          </w:p>
        </w:tc>
      </w:tr>
      <w:tr>
        <w:trPr>
          <w:cantSplit/>
        </w:trPr>
        <w:tc>
          <w:tcPr>
            <w:tcW w:type="dxa" w:w="431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8. Sinais de alerta</w:t>
            </w:r>
          </w:p>
        </w:tc>
        <w:tc>
          <w:tcPr>
            <w:tcW w:type="dxa" w:w="475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Sinais que determinam interrupção imediata:</w:t>
            </w:r>
          </w:p>
        </w:tc>
      </w:tr>
      <w:tr>
        <w:trPr>
          <w:cantSplit/>
        </w:trPr>
        <w:tc>
          <w:tcPr>
            <w:tcW w:type="dxa" w:w="431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9. Conduta em intercorrência</w:t>
            </w:r>
          </w:p>
        </w:tc>
        <w:tc>
          <w:tcPr>
            <w:tcW w:type="dxa" w:w="475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Fluxograma aplicável: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Encaminhamento previsto:</w:t>
            </w:r>
          </w:p>
        </w:tc>
      </w:tr>
      <w:tr>
        <w:trPr>
          <w:cantSplit/>
        </w:trPr>
        <w:tc>
          <w:tcPr>
            <w:tcW w:type="dxa" w:w="431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10. Registro</w:t>
            </w:r>
          </w:p>
        </w:tc>
        <w:tc>
          <w:tcPr>
            <w:tcW w:type="dxa" w:w="475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Itens obrigatórios no prontuário: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Lote, região e parâmetros:</w:t>
            </w:r>
          </w:p>
        </w:tc>
      </w:tr>
      <w:tr>
        <w:trPr>
          <w:cantSplit/>
        </w:trPr>
        <w:tc>
          <w:tcPr>
            <w:tcW w:type="dxa" w:w="431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11. Pós-procedimento</w:t>
            </w:r>
          </w:p>
        </w:tc>
        <w:tc>
          <w:tcPr>
            <w:tcW w:type="dxa" w:w="475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Orientações ao paciente: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Sinais para contato imediato: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Canal e horário: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Rotina de acompanhamento:</w:t>
            </w:r>
          </w:p>
        </w:tc>
      </w:tr>
      <w:tr>
        <w:trPr>
          <w:cantSplit/>
        </w:trPr>
        <w:tc>
          <w:tcPr>
            <w:tcW w:type="dxa" w:w="431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12. Referências e controle</w:t>
            </w:r>
          </w:p>
        </w:tc>
        <w:tc>
          <w:tcPr>
            <w:tcW w:type="dxa" w:w="475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Fontes e desenho de estudo: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Histórico de versões: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Justificativa de menção a produto:</w:t>
            </w:r>
          </w:p>
          <w:p>
            <w:pPr>
              <w:spacing w:after="0"/>
              <w:jc w:val="left"/>
            </w:pPr>
            <w:r>
              <w:rPr>
                <w:rFonts w:ascii="Calibri" w:hAnsi="Calibri"/>
                <w:b w:val="0"/>
                <w:color w:val="1A1A1A"/>
                <w:sz w:val="24"/>
              </w:rPr>
              <w:t>Conflito de interesses:</w:t>
            </w:r>
          </w:p>
        </w:tc>
      </w:tr>
    </w:tbl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Anexo B. Checklist de revisão por par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O revisor marca cada item. Item marcado como não conforme impede a progressão para a versão 0.9 e deve vir acompanhado de justificativa escrita.</w:t>
      </w:r>
    </w:p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862"/>
        <w:gridCol w:w="3795"/>
        <w:gridCol w:w="2207"/>
        <w:gridCol w:w="2207"/>
      </w:tblGrid>
      <w:tr>
        <w:trPr>
          <w:cantSplit/>
          <w:tblHeader/>
        </w:trPr>
        <w:tc>
          <w:tcPr>
            <w:tcW w:type="dxa" w:w="862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Nº</w:t>
            </w:r>
          </w:p>
        </w:tc>
        <w:tc>
          <w:tcPr>
            <w:tcW w:type="dxa" w:w="3795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Item verificado</w:t>
            </w:r>
          </w:p>
        </w:tc>
        <w:tc>
          <w:tcPr>
            <w:tcW w:type="dxa" w:w="220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Conforme</w:t>
            </w:r>
          </w:p>
        </w:tc>
        <w:tc>
          <w:tcPr>
            <w:tcW w:type="dxa" w:w="220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Não conforme</w:t>
            </w:r>
          </w:p>
        </w:tc>
      </w:tr>
      <w:tr>
        <w:trPr>
          <w:cantSplit/>
        </w:trPr>
        <w:tc>
          <w:tcPr>
            <w:tcW w:type="dxa" w:w="86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</w:t>
            </w:r>
          </w:p>
        </w:tc>
        <w:tc>
          <w:tcPr>
            <w:tcW w:type="dxa" w:w="379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Os doze campos estão preenchidos, ou justificados como não aplicáveis.</w:t>
            </w:r>
          </w:p>
        </w:tc>
        <w:tc>
          <w:tcPr>
            <w:tcW w:type="dxa" w:w="22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2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86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2</w:t>
            </w:r>
          </w:p>
        </w:tc>
        <w:tc>
          <w:tcPr>
            <w:tcW w:type="dxa" w:w="379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 campo 3 identifica a base consultada e a data da consulta.</w:t>
            </w:r>
          </w:p>
        </w:tc>
        <w:tc>
          <w:tcPr>
            <w:tcW w:type="dxa" w:w="22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2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86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3</w:t>
            </w:r>
          </w:p>
        </w:tc>
        <w:tc>
          <w:tcPr>
            <w:tcW w:type="dxa" w:w="379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 escopo declara expressamente o que o POP não cobre.</w:t>
            </w:r>
          </w:p>
        </w:tc>
        <w:tc>
          <w:tcPr>
            <w:tcW w:type="dxa" w:w="22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2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86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4</w:t>
            </w:r>
          </w:p>
        </w:tc>
        <w:tc>
          <w:tcPr>
            <w:tcW w:type="dxa" w:w="379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Toda afirmação clínica traz grau de evidência declarado.</w:t>
            </w:r>
          </w:p>
        </w:tc>
        <w:tc>
          <w:tcPr>
            <w:tcW w:type="dxa" w:w="22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2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86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5</w:t>
            </w:r>
          </w:p>
        </w:tc>
        <w:tc>
          <w:tcPr>
            <w:tcW w:type="dxa" w:w="379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Não há formulação determinística ou superlativa incompatível com o grau declarado.</w:t>
            </w:r>
          </w:p>
        </w:tc>
        <w:tc>
          <w:tcPr>
            <w:tcW w:type="dxa" w:w="22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2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86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6</w:t>
            </w:r>
          </w:p>
        </w:tc>
        <w:tc>
          <w:tcPr>
            <w:tcW w:type="dxa" w:w="379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Não há menção a marca ou fabricante sem justificativa no campo 12.</w:t>
            </w:r>
          </w:p>
        </w:tc>
        <w:tc>
          <w:tcPr>
            <w:tcW w:type="dxa" w:w="22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2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86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7</w:t>
            </w:r>
          </w:p>
        </w:tc>
        <w:tc>
          <w:tcPr>
            <w:tcW w:type="dxa" w:w="379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 campo 9 remete ao fluxograma, sem duplicar seu conteúdo.</w:t>
            </w:r>
          </w:p>
        </w:tc>
        <w:tc>
          <w:tcPr>
            <w:tcW w:type="dxa" w:w="22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2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86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8</w:t>
            </w:r>
          </w:p>
        </w:tc>
        <w:tc>
          <w:tcPr>
            <w:tcW w:type="dxa" w:w="379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Os sinais de alerta estão descritos de forma observável.</w:t>
            </w:r>
          </w:p>
        </w:tc>
        <w:tc>
          <w:tcPr>
            <w:tcW w:type="dxa" w:w="22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2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86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9</w:t>
            </w:r>
          </w:p>
        </w:tc>
        <w:tc>
          <w:tcPr>
            <w:tcW w:type="dxa" w:w="379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 campo 10 especifica lote, região anatômica e parâmetros.</w:t>
            </w:r>
          </w:p>
        </w:tc>
        <w:tc>
          <w:tcPr>
            <w:tcW w:type="dxa" w:w="22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2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86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10</w:t>
            </w:r>
          </w:p>
        </w:tc>
        <w:tc>
          <w:tcPr>
            <w:tcW w:type="dxa" w:w="379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 campo 11 define canal de contato e rotina de acompanhamento com registro.</w:t>
            </w:r>
          </w:p>
        </w:tc>
        <w:tc>
          <w:tcPr>
            <w:tcW w:type="dxa" w:w="22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2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86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11</w:t>
            </w:r>
          </w:p>
        </w:tc>
        <w:tc>
          <w:tcPr>
            <w:tcW w:type="dxa" w:w="379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As referências indicam desenho de estudo quando científicas.</w:t>
            </w:r>
          </w:p>
        </w:tc>
        <w:tc>
          <w:tcPr>
            <w:tcW w:type="dxa" w:w="22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20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86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12</w:t>
            </w:r>
          </w:p>
        </w:tc>
        <w:tc>
          <w:tcPr>
            <w:tcW w:type="dxa" w:w="379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Há declaração de conflito de interesses dos redatores.</w:t>
            </w:r>
          </w:p>
        </w:tc>
        <w:tc>
          <w:tcPr>
            <w:tcW w:type="dxa" w:w="22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20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</w:tbl>
    <w:p>
      <w:pPr>
        <w:spacing w:after="2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242"/>
        <w:gridCol w:w="1924"/>
        <w:gridCol w:w="3906"/>
      </w:tblGrid>
      <w:tr>
        <w:trPr>
          <w:cantSplit/>
          <w:tblHeader/>
        </w:trPr>
        <w:tc>
          <w:tcPr>
            <w:tcW w:type="dxa" w:w="3242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Revisor por par</w:t>
            </w:r>
          </w:p>
        </w:tc>
        <w:tc>
          <w:tcPr>
            <w:tcW w:type="dxa" w:w="192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Data</w:t>
            </w:r>
          </w:p>
        </w:tc>
        <w:tc>
          <w:tcPr>
            <w:tcW w:type="dxa" w:w="3906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Assinatura</w:t>
            </w:r>
          </w:p>
        </w:tc>
      </w:tr>
      <w:tr>
        <w:trPr>
          <w:cantSplit/>
        </w:trPr>
        <w:tc>
          <w:tcPr>
            <w:tcW w:type="dxa" w:w="324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2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390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</w:tbl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Anexo C. Folha de deliberação (Meta M1)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 Meta M1 do ciclo tem como indicador de verificação a ata do Núcleo registrando a aprovação do modelo, com o documento anexado. Esta folha existe para que a deliberação seja registrada de forma inequívoca e para que eventuais ajustes fiquem documentados com autoria.</w:t>
      </w:r>
    </w:p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1637"/>
        <w:gridCol w:w="1979"/>
        <w:gridCol w:w="1577"/>
        <w:gridCol w:w="1776"/>
        <w:gridCol w:w="2103"/>
      </w:tblGrid>
      <w:tr>
        <w:trPr>
          <w:cantSplit/>
          <w:tblHeader/>
        </w:trPr>
        <w:tc>
          <w:tcPr>
            <w:tcW w:type="dxa" w:w="163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Membro</w:t>
            </w:r>
          </w:p>
        </w:tc>
        <w:tc>
          <w:tcPr>
            <w:tcW w:type="dxa" w:w="197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Concordo</w:t>
            </w:r>
          </w:p>
        </w:tc>
        <w:tc>
          <w:tcPr>
            <w:tcW w:type="dxa" w:w="157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Ajusto</w:t>
            </w:r>
          </w:p>
        </w:tc>
        <w:tc>
          <w:tcPr>
            <w:tcW w:type="dxa" w:w="1776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Rejeito</w:t>
            </w:r>
          </w:p>
        </w:tc>
        <w:tc>
          <w:tcPr>
            <w:tcW w:type="dxa" w:w="2103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Motivo do ajuste ou da rejeição</w:t>
            </w:r>
          </w:p>
        </w:tc>
      </w:tr>
      <w:tr>
        <w:trPr>
          <w:cantSplit/>
        </w:trPr>
        <w:tc>
          <w:tcPr>
            <w:tcW w:type="dxa" w:w="16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7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5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7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10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163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7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5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7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10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16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7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5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7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10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163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7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5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7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10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16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7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5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7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10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163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7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5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7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10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16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7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5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7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10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163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97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5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17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  <w:tc>
          <w:tcPr>
            <w:tcW w:type="dxa" w:w="210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</w:tbl>
    <w:p>
      <w:pPr>
        <w:spacing w:after="2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4959"/>
        <w:gridCol w:w="4113"/>
      </w:tblGrid>
      <w:tr>
        <w:trPr>
          <w:cantSplit/>
          <w:tblHeader/>
        </w:trPr>
        <w:tc>
          <w:tcPr>
            <w:tcW w:type="dxa" w:w="495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Resultado da deliberação</w:t>
            </w:r>
          </w:p>
        </w:tc>
        <w:tc>
          <w:tcPr>
            <w:tcW w:type="dxa" w:w="4113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Registro</w:t>
            </w:r>
          </w:p>
        </w:tc>
      </w:tr>
      <w:tr>
        <w:trPr>
          <w:cantSplit/>
        </w:trPr>
        <w:tc>
          <w:tcPr>
            <w:tcW w:type="dxa" w:w="495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Data da reunião</w:t>
            </w:r>
          </w:p>
        </w:tc>
        <w:tc>
          <w:tcPr>
            <w:tcW w:type="dxa" w:w="411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95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Modelo aprovado na íntegra</w:t>
            </w:r>
          </w:p>
        </w:tc>
        <w:tc>
          <w:tcPr>
            <w:tcW w:type="dxa" w:w="411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95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Modelo aprovado com ajustes (descrever)</w:t>
            </w:r>
          </w:p>
        </w:tc>
        <w:tc>
          <w:tcPr>
            <w:tcW w:type="dxa" w:w="411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95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Número da ata</w:t>
            </w:r>
          </w:p>
        </w:tc>
        <w:tc>
          <w:tcPr>
            <w:tcW w:type="dxa" w:w="4113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  <w:tr>
        <w:trPr>
          <w:cantSplit/>
        </w:trPr>
        <w:tc>
          <w:tcPr>
            <w:tcW w:type="dxa" w:w="495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Documento anexado à ata</w:t>
            </w:r>
          </w:p>
        </w:tc>
        <w:tc>
          <w:tcPr>
            <w:tcW w:type="dxa" w:w="4113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</w:r>
          </w:p>
        </w:tc>
      </w:tr>
    </w:tbl>
    <w:p>
      <w:pPr>
        <w:spacing w:after="280"/>
      </w:pPr>
    </w:p>
    <w:p>
      <w:pPr>
        <w:spacing w:after="120"/>
        <w:jc w:val="both"/>
      </w:pPr>
      <w:r>
        <w:rPr>
          <w:rFonts w:ascii="Calibri" w:hAnsi="Calibri"/>
          <w:b w:val="0"/>
          <w:i/>
          <w:color w:val="1A1A1A"/>
          <w:sz w:val="24"/>
        </w:rPr>
        <w:t>Registrado o resultado, a Secretaria atualiza a situação deste documento para “aprovado internamente” e a Presidência inicia a produção da onda 1 de POPs, prevista para setembro (Meta M5).</w:t>
      </w:r>
    </w:p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Ordem de produção dos POPs por onda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 produção obedece a ondas, e não a preferência de tema. A ordem decorre de criticidade clínica e de janela terapêutica: produz-se primeiro aquilo cujo erro tem menor tempo de correção.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1044"/>
        <w:gridCol w:w="3027"/>
        <w:gridCol w:w="3232"/>
        <w:gridCol w:w="1769"/>
      </w:tblGrid>
      <w:tr>
        <w:trPr>
          <w:cantSplit/>
          <w:tblHeader/>
        </w:trPr>
        <w:tc>
          <w:tcPr>
            <w:tcW w:type="dxa" w:w="104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Onda</w:t>
            </w:r>
          </w:p>
        </w:tc>
        <w:tc>
          <w:tcPr>
            <w:tcW w:type="dxa" w:w="302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Classe</w:t>
            </w:r>
          </w:p>
        </w:tc>
        <w:tc>
          <w:tcPr>
            <w:tcW w:type="dxa" w:w="3232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Justificativa da prioridade</w:t>
            </w:r>
          </w:p>
        </w:tc>
        <w:tc>
          <w:tcPr>
            <w:tcW w:type="dxa" w:w="1769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Prazo do ciclo</w:t>
            </w:r>
          </w:p>
        </w:tc>
      </w:tr>
      <w:tr>
        <w:trPr>
          <w:cantSplit/>
        </w:trPr>
        <w:tc>
          <w:tcPr>
            <w:tcW w:type="dxa" w:w="10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1</w:t>
            </w:r>
          </w:p>
        </w:tc>
        <w:tc>
          <w:tcPr>
            <w:tcW w:type="dxa" w:w="302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Injetáveis e manejo de intercorrências</w:t>
            </w:r>
          </w:p>
        </w:tc>
        <w:tc>
          <w:tcPr>
            <w:tcW w:type="dxa" w:w="323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Maior criticidade clínica e menor janela terapêutica. A literatura descreve intervalo de horas para a reversibilidade do estágio inicial da isquemia.</w:t>
            </w:r>
          </w:p>
        </w:tc>
        <w:tc>
          <w:tcPr>
            <w:tcW w:type="dxa" w:w="176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Setembro</w:t>
            </w:r>
          </w:p>
        </w:tc>
      </w:tr>
      <w:tr>
        <w:trPr>
          <w:cantSplit/>
        </w:trPr>
        <w:tc>
          <w:tcPr>
            <w:tcW w:type="dxa" w:w="10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2</w:t>
            </w:r>
          </w:p>
        </w:tc>
        <w:tc>
          <w:tcPr>
            <w:tcW w:type="dxa" w:w="302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Tecnologias baseadas em energia</w:t>
            </w:r>
          </w:p>
        </w:tc>
        <w:tc>
          <w:tcPr>
            <w:tcW w:type="dxa" w:w="323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Risco térmico e ocular, com forte dependência de parâmetros, manutenção e treinamento.</w:t>
            </w:r>
          </w:p>
        </w:tc>
        <w:tc>
          <w:tcPr>
            <w:tcW w:type="dxa" w:w="176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Outubro</w:t>
            </w:r>
          </w:p>
        </w:tc>
      </w:tr>
      <w:tr>
        <w:trPr>
          <w:cantSplit/>
        </w:trPr>
        <w:tc>
          <w:tcPr>
            <w:tcW w:type="dxa" w:w="10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2</w:t>
            </w:r>
          </w:p>
        </w:tc>
        <w:tc>
          <w:tcPr>
            <w:tcW w:type="dxa" w:w="302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Eletromecânicas e apoio cirúrgico</w:t>
            </w:r>
          </w:p>
        </w:tc>
        <w:tc>
          <w:tcPr>
            <w:tcW w:type="dxa" w:w="323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Risco elétrico, queimadura, infecção, processamento e rastreabilidade.</w:t>
            </w:r>
          </w:p>
        </w:tc>
        <w:tc>
          <w:tcPr>
            <w:tcW w:type="dxa" w:w="1769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Outubro</w:t>
            </w:r>
          </w:p>
        </w:tc>
      </w:tr>
      <w:tr>
        <w:trPr>
          <w:cantSplit/>
        </w:trPr>
        <w:tc>
          <w:tcPr>
            <w:tcW w:type="dxa" w:w="10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3</w:t>
            </w:r>
          </w:p>
        </w:tc>
        <w:tc>
          <w:tcPr>
            <w:tcW w:type="dxa" w:w="302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Imagem e documentação</w:t>
            </w:r>
          </w:p>
        </w:tc>
        <w:tc>
          <w:tcPr>
            <w:tcW w:type="dxa" w:w="323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Risco físico menor, porém risco relevante de interpretação, de registro e de proteção de dados.</w:t>
            </w:r>
          </w:p>
        </w:tc>
        <w:tc>
          <w:tcPr>
            <w:tcW w:type="dxa" w:w="1769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Backlog 2027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  <w:tblBorders>
          <w:top w:val="single" w:sz="4" w:space="0" w:color="EAF0F6"/>
          <w:bottom w:val="single" w:sz="4" w:space="0" w:color="EAF0F6"/>
          <w:right w:val="single" w:sz="4" w:space="0" w:color="EAF0F6"/>
          <w:insideH w:val="single" w:sz="4" w:space="0" w:color="EAF0F6"/>
          <w:insideV w:val="single" w:sz="4" w:space="0" w:color="EAF0F6"/>
          <w:left w:val="single" w:sz="24" w:space="0" w:color="143C64"/>
        </w:tblBorders>
        <w:tblLayout w:type="fixed"/>
      </w:tblPr>
      <w:tblGrid>
        <w:gridCol w:w="9072"/>
      </w:tblGrid>
      <w:tr>
        <w:tc>
          <w:tcPr>
            <w:tcW w:type="dxa" w:w="9072"/>
            <w:shd w:val="clear" w:color="auto" w:fill="EAF0F6"/>
          </w:tcPr>
          <w:p>
            <w:pPr>
              <w:spacing w:after="60"/>
              <w:jc w:val="left"/>
            </w:pPr>
            <w:r/>
            <w:r>
              <w:rPr>
                <w:rFonts w:ascii="Calibri" w:hAnsi="Calibri"/>
                <w:b/>
                <w:color w:val="143C64"/>
                <w:sz w:val="24"/>
              </w:rPr>
              <w:t>Regra de precedência</w:t>
            </w:r>
          </w:p>
          <w:p>
            <w:pPr>
              <w:spacing w:after="0"/>
              <w:jc w:val="both"/>
            </w:pPr>
            <w:r>
              <w:rPr>
                <w:rFonts w:ascii="Calibri" w:hAnsi="Calibri"/>
                <w:color w:val="1A1A1A"/>
                <w:sz w:val="24"/>
              </w:rPr>
              <w:t>Nenhum POP é redigido antes da aprovação deste modelo mestre pelo colegiado. POP produzido fora do modelo não é auditável, não é comparável e não pode ser revisado de forma sistemática. Se for necessário reduzir escopo, reduz-se o número de POPs, nunca a estrutura de cada um.</w:t>
            </w:r>
          </w:p>
        </w:tc>
      </w:tr>
    </w:tbl>
    <w:p>
      <w:pPr>
        <w:spacing w:after="80"/>
      </w:pP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Pauta de produção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A pauta abaixo consolida os temas de POP a serem produzidos no ciclo e no backlog. Cada tema recebe código, onda e situação de escopo. A coluna de escopo não afirma que uma prática seja vedada: registra que o Núcleo não produzirá documento com marca institucional sobre matéria cuja competência esteja sob discussão judicial, enquanto não houver manifestação institucional.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1980"/>
        <w:gridCol w:w="3291"/>
        <w:gridCol w:w="1065"/>
        <w:gridCol w:w="2737"/>
      </w:tblGrid>
      <w:tr>
        <w:trPr>
          <w:cantSplit/>
          <w:tblHeader/>
        </w:trPr>
        <w:tc>
          <w:tcPr>
            <w:tcW w:type="dxa" w:w="1980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Código</w:t>
            </w:r>
          </w:p>
        </w:tc>
        <w:tc>
          <w:tcPr>
            <w:tcW w:type="dxa" w:w="3291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Tema</w:t>
            </w:r>
          </w:p>
        </w:tc>
        <w:tc>
          <w:tcPr>
            <w:tcW w:type="dxa" w:w="1065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Onda</w:t>
            </w:r>
          </w:p>
        </w:tc>
        <w:tc>
          <w:tcPr>
            <w:tcW w:type="dxa" w:w="273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Situação de escopo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POP-N5-01</w:t>
            </w:r>
          </w:p>
        </w:tc>
        <w:tc>
          <w:tcPr>
            <w:tcW w:type="dxa" w:w="329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Consulta, avaliação e planejamento</w:t>
            </w:r>
          </w:p>
        </w:tc>
        <w:tc>
          <w:tcPr>
            <w:tcW w:type="dxa" w:w="106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</w:t>
            </w:r>
          </w:p>
        </w:tc>
        <w:tc>
          <w:tcPr>
            <w:tcW w:type="dxa" w:w="27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Livre</w:t>
            </w:r>
          </w:p>
        </w:tc>
      </w:tr>
      <w:tr>
        <w:trPr>
          <w:cantSplit/>
        </w:trPr>
        <w:tc>
          <w:tcPr>
            <w:tcW w:type="dxa" w:w="198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POP-N5-02</w:t>
            </w:r>
          </w:p>
        </w:tc>
        <w:tc>
          <w:tcPr>
            <w:tcW w:type="dxa" w:w="329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Preenchimento com ácido hialurônico</w:t>
            </w:r>
          </w:p>
        </w:tc>
        <w:tc>
          <w:tcPr>
            <w:tcW w:type="dxa" w:w="106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</w:t>
            </w:r>
          </w:p>
        </w:tc>
        <w:tc>
          <w:tcPr>
            <w:tcW w:type="dxa" w:w="273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Livre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POP-N5-03</w:t>
            </w:r>
          </w:p>
        </w:tc>
        <w:tc>
          <w:tcPr>
            <w:tcW w:type="dxa" w:w="329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Bioestimuladores de colágeno</w:t>
            </w:r>
          </w:p>
        </w:tc>
        <w:tc>
          <w:tcPr>
            <w:tcW w:type="dxa" w:w="106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</w:t>
            </w:r>
          </w:p>
        </w:tc>
        <w:tc>
          <w:tcPr>
            <w:tcW w:type="dxa" w:w="27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Livre</w:t>
            </w:r>
          </w:p>
        </w:tc>
      </w:tr>
      <w:tr>
        <w:trPr>
          <w:cantSplit/>
        </w:trPr>
        <w:tc>
          <w:tcPr>
            <w:tcW w:type="dxa" w:w="198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POP-N5-04</w:t>
            </w:r>
          </w:p>
        </w:tc>
        <w:tc>
          <w:tcPr>
            <w:tcW w:type="dxa" w:w="329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Toxina botulínica</w:t>
            </w:r>
          </w:p>
        </w:tc>
        <w:tc>
          <w:tcPr>
            <w:tcW w:type="dxa" w:w="106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</w:t>
            </w:r>
          </w:p>
        </w:tc>
        <w:tc>
          <w:tcPr>
            <w:tcW w:type="dxa" w:w="273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Livre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POP-N5-05</w:t>
            </w:r>
          </w:p>
        </w:tc>
        <w:tc>
          <w:tcPr>
            <w:tcW w:type="dxa" w:w="329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Suspeita de comprometimento vascular</w:t>
            </w:r>
          </w:p>
        </w:tc>
        <w:tc>
          <w:tcPr>
            <w:tcW w:type="dxa" w:w="106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</w:t>
            </w:r>
          </w:p>
        </w:tc>
        <w:tc>
          <w:tcPr>
            <w:tcW w:type="dxa" w:w="27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Livre, com fonte obrigatória por conduta</w:t>
            </w:r>
          </w:p>
        </w:tc>
      </w:tr>
      <w:tr>
        <w:trPr>
          <w:cantSplit/>
        </w:trPr>
        <w:tc>
          <w:tcPr>
            <w:tcW w:type="dxa" w:w="198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POP-N5-06</w:t>
            </w:r>
          </w:p>
        </w:tc>
        <w:tc>
          <w:tcPr>
            <w:tcW w:type="dxa" w:w="329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Manejo de intercorrência e uso de agente reversor</w:t>
            </w:r>
          </w:p>
        </w:tc>
        <w:tc>
          <w:tcPr>
            <w:tcW w:type="dxa" w:w="106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</w:t>
            </w:r>
          </w:p>
        </w:tc>
        <w:tc>
          <w:tcPr>
            <w:tcW w:type="dxa" w:w="273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Livre, com fonte obrigatória por conduta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POP-N5-07</w:t>
            </w:r>
          </w:p>
        </w:tc>
        <w:tc>
          <w:tcPr>
            <w:tcW w:type="dxa" w:w="329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Atendimento das intercorrências, fluxo geral</w:t>
            </w:r>
          </w:p>
        </w:tc>
        <w:tc>
          <w:tcPr>
            <w:tcW w:type="dxa" w:w="106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</w:t>
            </w:r>
          </w:p>
        </w:tc>
        <w:tc>
          <w:tcPr>
            <w:tcW w:type="dxa" w:w="27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Livre</w:t>
            </w:r>
          </w:p>
        </w:tc>
      </w:tr>
      <w:tr>
        <w:trPr>
          <w:cantSplit/>
        </w:trPr>
        <w:tc>
          <w:tcPr>
            <w:tcW w:type="dxa" w:w="198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POP-N5-08</w:t>
            </w:r>
          </w:p>
        </w:tc>
        <w:tc>
          <w:tcPr>
            <w:tcW w:type="dxa" w:w="329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Kit e fluxo de emergência</w:t>
            </w:r>
          </w:p>
        </w:tc>
        <w:tc>
          <w:tcPr>
            <w:tcW w:type="dxa" w:w="106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</w:t>
            </w:r>
          </w:p>
        </w:tc>
        <w:tc>
          <w:tcPr>
            <w:tcW w:type="dxa" w:w="273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Depende de deliberação sobre composição do kit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POP-N5-09</w:t>
            </w:r>
          </w:p>
        </w:tc>
        <w:tc>
          <w:tcPr>
            <w:tcW w:type="dxa" w:w="329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Nódulos e alterações tardias</w:t>
            </w:r>
          </w:p>
        </w:tc>
        <w:tc>
          <w:tcPr>
            <w:tcW w:type="dxa" w:w="106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2</w:t>
            </w:r>
          </w:p>
        </w:tc>
        <w:tc>
          <w:tcPr>
            <w:tcW w:type="dxa" w:w="27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Livre</w:t>
            </w:r>
          </w:p>
        </w:tc>
      </w:tr>
      <w:tr>
        <w:trPr>
          <w:cantSplit/>
        </w:trPr>
        <w:tc>
          <w:tcPr>
            <w:tcW w:type="dxa" w:w="198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POP-N5-10</w:t>
            </w:r>
          </w:p>
        </w:tc>
        <w:tc>
          <w:tcPr>
            <w:tcW w:type="dxa" w:w="329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Infecção e abscesso pós-procedimento</w:t>
            </w:r>
          </w:p>
        </w:tc>
        <w:tc>
          <w:tcPr>
            <w:tcW w:type="dxa" w:w="106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2</w:t>
            </w:r>
          </w:p>
        </w:tc>
        <w:tc>
          <w:tcPr>
            <w:tcW w:type="dxa" w:w="273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Livre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POP-N5-11</w:t>
            </w:r>
          </w:p>
        </w:tc>
        <w:tc>
          <w:tcPr>
            <w:tcW w:type="dxa" w:w="329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Tecnologia baseada em energia</w:t>
            </w:r>
          </w:p>
        </w:tc>
        <w:tc>
          <w:tcPr>
            <w:tcW w:type="dxa" w:w="106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2</w:t>
            </w:r>
          </w:p>
        </w:tc>
        <w:tc>
          <w:tcPr>
            <w:tcW w:type="dxa" w:w="27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Livre</w:t>
            </w:r>
          </w:p>
        </w:tc>
      </w:tr>
      <w:tr>
        <w:trPr>
          <w:cantSplit/>
        </w:trPr>
        <w:tc>
          <w:tcPr>
            <w:tcW w:type="dxa" w:w="198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POP-N5-12</w:t>
            </w:r>
          </w:p>
        </w:tc>
        <w:tc>
          <w:tcPr>
            <w:tcW w:type="dxa" w:w="329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Eletromecânicas e apoio cirúrgico</w:t>
            </w:r>
          </w:p>
        </w:tc>
        <w:tc>
          <w:tcPr>
            <w:tcW w:type="dxa" w:w="106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2</w:t>
            </w:r>
          </w:p>
        </w:tc>
        <w:tc>
          <w:tcPr>
            <w:tcW w:type="dxa" w:w="273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Livre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POP-N5-13</w:t>
            </w:r>
          </w:p>
        </w:tc>
        <w:tc>
          <w:tcPr>
            <w:tcW w:type="dxa" w:w="329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Documentação fotográfica padronizada</w:t>
            </w:r>
          </w:p>
        </w:tc>
        <w:tc>
          <w:tcPr>
            <w:tcW w:type="dxa" w:w="106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3</w:t>
            </w:r>
          </w:p>
        </w:tc>
        <w:tc>
          <w:tcPr>
            <w:tcW w:type="dxa" w:w="27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Livre</w:t>
            </w:r>
          </w:p>
        </w:tc>
      </w:tr>
      <w:tr>
        <w:trPr>
          <w:cantSplit/>
        </w:trPr>
        <w:tc>
          <w:tcPr>
            <w:tcW w:type="dxa" w:w="198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POP-N5-14</w:t>
            </w:r>
          </w:p>
        </w:tc>
        <w:tc>
          <w:tcPr>
            <w:tcW w:type="dxa" w:w="3291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Procedimentos apoiados por imagem</w:t>
            </w:r>
          </w:p>
        </w:tc>
        <w:tc>
          <w:tcPr>
            <w:tcW w:type="dxa" w:w="106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3</w:t>
            </w:r>
          </w:p>
        </w:tc>
        <w:tc>
          <w:tcPr>
            <w:tcW w:type="dxa" w:w="273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Suspenso até definição institucional de escopo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POP-N5-15</w:t>
            </w:r>
          </w:p>
        </w:tc>
        <w:tc>
          <w:tcPr>
            <w:tcW w:type="dxa" w:w="3291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Aquisição, laudo e guarda de imagem</w:t>
            </w:r>
          </w:p>
        </w:tc>
        <w:tc>
          <w:tcPr>
            <w:tcW w:type="dxa" w:w="106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3</w:t>
            </w:r>
          </w:p>
        </w:tc>
        <w:tc>
          <w:tcPr>
            <w:tcW w:type="dxa" w:w="273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Suspenso até definição institucional de escopo</w:t>
            </w:r>
          </w:p>
        </w:tc>
      </w:tr>
    </w:tbl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Ficha de preenchimento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Ficha única, aplicável a qualquer tema da pauta. Uma folha por POP. Os campos clínicos permanecem em branco de forma deliberada: dose, via, técnica e parâmetro dependem do produto específico, das instruções do fabricante e de deliberação do colegiado. Preenchê-los sem essa base produziria aparência de protocolo sem sustentação.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125"/>
        <w:gridCol w:w="3348"/>
        <w:gridCol w:w="2598"/>
      </w:tblGrid>
      <w:tr>
        <w:trPr>
          <w:cantSplit/>
          <w:tblHeader/>
        </w:trPr>
        <w:tc>
          <w:tcPr>
            <w:tcW w:type="dxa" w:w="3125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Campo</w:t>
            </w:r>
          </w:p>
        </w:tc>
        <w:tc>
          <w:tcPr>
            <w:tcW w:type="dxa" w:w="3348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Conteúdo exigido</w:t>
            </w:r>
          </w:p>
        </w:tc>
        <w:tc>
          <w:tcPr>
            <w:tcW w:type="dxa" w:w="2598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Preenchimento</w:t>
            </w:r>
          </w:p>
        </w:tc>
      </w:tr>
      <w:tr>
        <w:trPr>
          <w:cantSplit/>
        </w:trPr>
        <w:tc>
          <w:tcPr>
            <w:tcW w:type="dxa" w:w="312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1. Identificação</w:t>
            </w:r>
          </w:p>
        </w:tc>
        <w:tc>
          <w:tcPr>
            <w:tcW w:type="dxa" w:w="334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Título, código da pauta, versão, data de emissão, data da próxima revisão e responsável pela redação.</w:t>
            </w:r>
          </w:p>
        </w:tc>
        <w:tc>
          <w:tcPr>
            <w:tcW w:type="dxa" w:w="259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312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2. Objetivo e alcance</w:t>
            </w:r>
          </w:p>
        </w:tc>
        <w:tc>
          <w:tcPr>
            <w:tcW w:type="dxa" w:w="334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Finalidade, a quem se aplica e, expressamente, o que o POP não cobre.</w:t>
            </w:r>
          </w:p>
        </w:tc>
        <w:tc>
          <w:tcPr>
            <w:tcW w:type="dxa" w:w="259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312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3. Situação regulatória</w:t>
            </w:r>
          </w:p>
        </w:tc>
        <w:tc>
          <w:tcPr>
            <w:tcW w:type="dxa" w:w="334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Regularização do produto ou equipamento, indicação aprovada, base consultada e data da consulta.</w:t>
            </w:r>
          </w:p>
        </w:tc>
        <w:tc>
          <w:tcPr>
            <w:tcW w:type="dxa" w:w="259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312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4. Competência exigida</w:t>
            </w:r>
          </w:p>
        </w:tc>
        <w:tc>
          <w:tcPr>
            <w:tcW w:type="dxa" w:w="334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Formação, habilitação e capacitação necessárias, com remissão à norma que as sustenta.</w:t>
            </w:r>
          </w:p>
        </w:tc>
        <w:tc>
          <w:tcPr>
            <w:tcW w:type="dxa" w:w="259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312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5. Materiais e equipamentos</w:t>
            </w:r>
          </w:p>
        </w:tc>
        <w:tc>
          <w:tcPr>
            <w:tcW w:type="dxa" w:w="334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Lista completa, incluindo itens de segurança e de manejo de intercorrência que devem estar disponíveis antes do início.</w:t>
            </w:r>
          </w:p>
        </w:tc>
        <w:tc>
          <w:tcPr>
            <w:tcW w:type="dxa" w:w="259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312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6. Verificações prévias</w:t>
            </w:r>
          </w:p>
        </w:tc>
        <w:tc>
          <w:tcPr>
            <w:tcW w:type="dxa" w:w="334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Anamnese, contraindicações, documentação assinada, conferência do equipamento e antissepsia.</w:t>
            </w:r>
          </w:p>
        </w:tc>
        <w:tc>
          <w:tcPr>
            <w:tcW w:type="dxa" w:w="259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312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7. Execução</w:t>
            </w:r>
          </w:p>
        </w:tc>
        <w:tc>
          <w:tcPr>
            <w:tcW w:type="dxa" w:w="334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Sequência operacional e parâmetros validados, com marcação de horários quando o tema for tempo-dependente.</w:t>
            </w:r>
          </w:p>
        </w:tc>
        <w:tc>
          <w:tcPr>
            <w:tcW w:type="dxa" w:w="259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312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8. Sinais de alerta</w:t>
            </w:r>
          </w:p>
        </w:tc>
        <w:tc>
          <w:tcPr>
            <w:tcW w:type="dxa" w:w="334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Critérios objetivos de interrupção imediata.</w:t>
            </w:r>
          </w:p>
        </w:tc>
        <w:tc>
          <w:tcPr>
            <w:tcW w:type="dxa" w:w="259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312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9. Conduta em intercorrência</w:t>
            </w:r>
          </w:p>
        </w:tc>
        <w:tc>
          <w:tcPr>
            <w:tcW w:type="dxa" w:w="334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Remissão ao Fluxograma Estadual e ao POP de manejo correspondente, sem duplicar seu conteúdo.</w:t>
            </w:r>
          </w:p>
        </w:tc>
        <w:tc>
          <w:tcPr>
            <w:tcW w:type="dxa" w:w="259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312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10. Registro</w:t>
            </w:r>
          </w:p>
        </w:tc>
        <w:tc>
          <w:tcPr>
            <w:tcW w:type="dxa" w:w="334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Produto, fabricante, lote, validade, quantidade, concentração e diluição quando aplicável, região e lado, técnica empregada, parâmetros, horários e operador.</w:t>
            </w:r>
          </w:p>
        </w:tc>
        <w:tc>
          <w:tcPr>
            <w:tcW w:type="dxa" w:w="259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312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11. Pós-procedimento</w:t>
            </w:r>
          </w:p>
        </w:tc>
        <w:tc>
          <w:tcPr>
            <w:tcW w:type="dxa" w:w="334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Orientação escrita ao paciente, sinais que exigem contato imediato, canal de contato e plano de acompanhamento.</w:t>
            </w:r>
          </w:p>
        </w:tc>
        <w:tc>
          <w:tcPr>
            <w:tcW w:type="dxa" w:w="259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312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12. Referências</w:t>
            </w:r>
          </w:p>
        </w:tc>
        <w:tc>
          <w:tcPr>
            <w:tcW w:type="dxa" w:w="334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Normas, instruções do fabricante e literatura, com data de consulta e gradação de evidência por afirmação.</w:t>
            </w:r>
          </w:p>
        </w:tc>
        <w:tc>
          <w:tcPr>
            <w:tcW w:type="dxa" w:w="259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</w:tbl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POPs transversais de gestão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Os cinco POPs abaixo estão completos e podem ser adotados como rotinas do serviço após validação institucional. Tratam de governança, biossegurança, rastreabilidade e segurança de equipamento, e por isso não dependem de marca, modelo ou produto. Complementam-se por anexos do fabricante quando o equipamento for definido.</w:t>
      </w:r>
    </w:p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POP-N5-T01 · Verificação regulatória e documental pré-uso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1304"/>
        <w:gridCol w:w="7768"/>
      </w:tblGrid>
      <w:tr>
        <w:trPr>
          <w:cantSplit/>
          <w:tblHeader/>
        </w:trPr>
        <w:tc>
          <w:tcPr>
            <w:tcW w:type="dxa" w:w="130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Nº</w:t>
            </w:r>
          </w:p>
        </w:tc>
        <w:tc>
          <w:tcPr>
            <w:tcW w:type="dxa" w:w="7768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Passo operacional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</w:t>
            </w:r>
          </w:p>
        </w:tc>
        <w:tc>
          <w:tcPr>
            <w:tcW w:type="dxa" w:w="776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Confirmar identificação inequívoca do equipamento ou dispositivo e a finalidade pretendida.</w:t>
            </w:r>
          </w:p>
        </w:tc>
      </w:tr>
      <w:tr>
        <w:trPr>
          <w:cantSplit/>
        </w:trPr>
        <w:tc>
          <w:tcPr>
            <w:tcW w:type="dxa" w:w="130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2</w:t>
            </w:r>
          </w:p>
        </w:tc>
        <w:tc>
          <w:tcPr>
            <w:tcW w:type="dxa" w:w="776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Consultar a situação de regularização na Anvisa quando aplicável, registrando número, titular e data da consulta.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3</w:t>
            </w:r>
          </w:p>
        </w:tc>
        <w:tc>
          <w:tcPr>
            <w:tcW w:type="dxa" w:w="776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Conferir instruções de uso, profissional habilitado, contraindicações, acessórios obrigatórios e condições de operação.</w:t>
            </w:r>
          </w:p>
        </w:tc>
      </w:tr>
      <w:tr>
        <w:trPr>
          <w:cantSplit/>
        </w:trPr>
        <w:tc>
          <w:tcPr>
            <w:tcW w:type="dxa" w:w="130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4</w:t>
            </w:r>
          </w:p>
        </w:tc>
        <w:tc>
          <w:tcPr>
            <w:tcW w:type="dxa" w:w="776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Verificar integridade física, limpeza, disponibilidade de acessórios, insumos auxiliares e condições ambientais previstas pelo fabricante.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5</w:t>
            </w:r>
          </w:p>
        </w:tc>
        <w:tc>
          <w:tcPr>
            <w:tcW w:type="dxa" w:w="776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Registrar no prontuário a tecnologia utilizada quando sua identificação for relevante para a rastreabilidade.</w:t>
            </w:r>
          </w:p>
        </w:tc>
      </w:tr>
      <w:tr>
        <w:trPr>
          <w:cantSplit/>
        </w:trPr>
        <w:tc>
          <w:tcPr>
            <w:tcW w:type="dxa" w:w="130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6</w:t>
            </w:r>
          </w:p>
        </w:tc>
        <w:tc>
          <w:tcPr>
            <w:tcW w:type="dxa" w:w="776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Impedir o uso diante de divergência documental, avaria, alerta de segurança, ausência de treinamento necessário ou condição fora da especificação.</w:t>
            </w:r>
          </w:p>
        </w:tc>
      </w:tr>
    </w:tbl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POP-N5-T02 · Manutenção, calibração, conservação e controle de desempenho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1304"/>
        <w:gridCol w:w="7768"/>
      </w:tblGrid>
      <w:tr>
        <w:trPr>
          <w:cantSplit/>
          <w:tblHeader/>
        </w:trPr>
        <w:tc>
          <w:tcPr>
            <w:tcW w:type="dxa" w:w="130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Nº</w:t>
            </w:r>
          </w:p>
        </w:tc>
        <w:tc>
          <w:tcPr>
            <w:tcW w:type="dxa" w:w="7768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Passo operacional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</w:t>
            </w:r>
          </w:p>
        </w:tc>
        <w:tc>
          <w:tcPr>
            <w:tcW w:type="dxa" w:w="776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Manter inventário de equipamentos com identificação, localização, fabricante, modelo, número de série e situação regulatória.</w:t>
            </w:r>
          </w:p>
        </w:tc>
      </w:tr>
      <w:tr>
        <w:trPr>
          <w:cantSplit/>
        </w:trPr>
        <w:tc>
          <w:tcPr>
            <w:tcW w:type="dxa" w:w="130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2</w:t>
            </w:r>
          </w:p>
        </w:tc>
        <w:tc>
          <w:tcPr>
            <w:tcW w:type="dxa" w:w="776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Definir cronograma de assistência técnica, manutenção preventiva, calibração, ajuste, ensaios e testes conforme legislação aplicável e instruções do fabricante.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3</w:t>
            </w:r>
          </w:p>
        </w:tc>
        <w:tc>
          <w:tcPr>
            <w:tcW w:type="dxa" w:w="776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Realizar limpeza e desinfecção de superfícies, acessórios e partes aplicadas conforme protocolo do fabricante e normas sanitárias, antes e após cada paciente.</w:t>
            </w:r>
          </w:p>
        </w:tc>
      </w:tr>
      <w:tr>
        <w:trPr>
          <w:cantSplit/>
        </w:trPr>
        <w:tc>
          <w:tcPr>
            <w:tcW w:type="dxa" w:w="130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4</w:t>
            </w:r>
          </w:p>
        </w:tc>
        <w:tc>
          <w:tcPr>
            <w:tcW w:type="dxa" w:w="776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Armazenar acessórios e partes aplicadas em local adequado e protegido, evitando dano físico e contaminação.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5</w:t>
            </w:r>
          </w:p>
        </w:tc>
        <w:tc>
          <w:tcPr>
            <w:tcW w:type="dxa" w:w="776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Registrar cada intervenção com identificação do serviço, do equipamento, detalhamento e assinatura do responsável pela execução.</w:t>
            </w:r>
          </w:p>
        </w:tc>
      </w:tr>
      <w:tr>
        <w:trPr>
          <w:cantSplit/>
        </w:trPr>
        <w:tc>
          <w:tcPr>
            <w:tcW w:type="dxa" w:w="130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6</w:t>
            </w:r>
          </w:p>
        </w:tc>
        <w:tc>
          <w:tcPr>
            <w:tcW w:type="dxa" w:w="776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Retirar de uso equipamento avariado, deteriorado, oxidado ou fora das especificações do fabricante.</w:t>
            </w:r>
          </w:p>
        </w:tc>
      </w:tr>
      <w:tr>
        <w:trPr>
          <w:cantSplit/>
        </w:trPr>
        <w:tc>
          <w:tcPr>
            <w:tcW w:type="dxa" w:w="130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7</w:t>
            </w:r>
          </w:p>
        </w:tc>
        <w:tc>
          <w:tcPr>
            <w:tcW w:type="dxa" w:w="776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Arquivar certificados, laudos e relatórios pelo período definido na política documental do serviço e disponibilizá-los à autoridade sanitária quando exigido.</w:t>
            </w:r>
          </w:p>
        </w:tc>
      </w:tr>
      <w:tr>
        <w:trPr>
          <w:cantSplit/>
        </w:trPr>
        <w:tc>
          <w:tcPr>
            <w:tcW w:type="dxa" w:w="130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8</w:t>
            </w:r>
          </w:p>
        </w:tc>
        <w:tc>
          <w:tcPr>
            <w:tcW w:type="dxa" w:w="776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Reavaliar o cronograma diante de atualização do fabricante, manutenção corretiva relevante, alerta de segurança ou alteração normativa.</w:t>
            </w:r>
          </w:p>
        </w:tc>
      </w:tr>
    </w:tbl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POP-N5-T03 · Rastreabilidade da sessão e documentação clínica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1272"/>
        <w:gridCol w:w="7800"/>
      </w:tblGrid>
      <w:tr>
        <w:trPr>
          <w:cantSplit/>
          <w:tblHeader/>
        </w:trPr>
        <w:tc>
          <w:tcPr>
            <w:tcW w:type="dxa" w:w="1272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Nº</w:t>
            </w:r>
          </w:p>
        </w:tc>
        <w:tc>
          <w:tcPr>
            <w:tcW w:type="dxa" w:w="7800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Passo operacional</w:t>
            </w:r>
          </w:p>
        </w:tc>
      </w:tr>
      <w:tr>
        <w:trPr>
          <w:cantSplit/>
        </w:trPr>
        <w:tc>
          <w:tcPr>
            <w:tcW w:type="dxa" w:w="127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</w:t>
            </w:r>
          </w:p>
        </w:tc>
        <w:tc>
          <w:tcPr>
            <w:tcW w:type="dxa" w:w="780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Registrar indicação, avaliação clínica, consentimento específico e tecnologia empregada.</w:t>
            </w:r>
          </w:p>
        </w:tc>
      </w:tr>
      <w:tr>
        <w:trPr>
          <w:cantSplit/>
        </w:trPr>
        <w:tc>
          <w:tcPr>
            <w:tcW w:type="dxa" w:w="127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2</w:t>
            </w:r>
          </w:p>
        </w:tc>
        <w:tc>
          <w:tcPr>
            <w:tcW w:type="dxa" w:w="780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Registrar produto, fabricante, lote, validade, quantidade utilizada, concentração e diluição quando aplicável.</w:t>
            </w:r>
          </w:p>
        </w:tc>
      </w:tr>
      <w:tr>
        <w:trPr>
          <w:cantSplit/>
        </w:trPr>
        <w:tc>
          <w:tcPr>
            <w:tcW w:type="dxa" w:w="127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3</w:t>
            </w:r>
          </w:p>
        </w:tc>
        <w:tc>
          <w:tcPr>
            <w:tcW w:type="dxa" w:w="780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Registrar regiões tratadas, lado, técnica empregada e parâmetros efetivamente utilizados.</w:t>
            </w:r>
          </w:p>
        </w:tc>
      </w:tr>
      <w:tr>
        <w:trPr>
          <w:cantSplit/>
        </w:trPr>
        <w:tc>
          <w:tcPr>
            <w:tcW w:type="dxa" w:w="127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4</w:t>
            </w:r>
          </w:p>
        </w:tc>
        <w:tc>
          <w:tcPr>
            <w:tcW w:type="dxa" w:w="780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Registrar profissional executor, data, horário, intercorrências e medidas adotadas.</w:t>
            </w:r>
          </w:p>
        </w:tc>
      </w:tr>
      <w:tr>
        <w:trPr>
          <w:cantSplit/>
        </w:trPr>
        <w:tc>
          <w:tcPr>
            <w:tcW w:type="dxa" w:w="127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5</w:t>
            </w:r>
          </w:p>
        </w:tc>
        <w:tc>
          <w:tcPr>
            <w:tcW w:type="dxa" w:w="780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Preservar imagens clínicas e dados de saúde sob regras de confidencialidade, finalidade e controle de acesso compatíveis com a Lei nº 13.709/2018 e com a Lei nº 15.378/2026.</w:t>
            </w:r>
          </w:p>
        </w:tc>
      </w:tr>
      <w:tr>
        <w:trPr>
          <w:cantSplit/>
        </w:trPr>
        <w:tc>
          <w:tcPr>
            <w:tcW w:type="dxa" w:w="1272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6</w:t>
            </w:r>
          </w:p>
        </w:tc>
        <w:tc>
          <w:tcPr>
            <w:tcW w:type="dxa" w:w="7800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Não substituir o prontuário por fotografia, aplicativo, mensagem instantânea ou registro comercial do equipamento.</w:t>
            </w:r>
          </w:p>
        </w:tc>
      </w:tr>
      <w:tr>
        <w:trPr>
          <w:cantSplit/>
        </w:trPr>
        <w:tc>
          <w:tcPr>
            <w:tcW w:type="dxa" w:w="1272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7</w:t>
            </w:r>
          </w:p>
        </w:tc>
        <w:tc>
          <w:tcPr>
            <w:tcW w:type="dxa" w:w="7800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Permitir a reconstrução do procedimento por terceiro revisor autorizado, sem depender da memória do operador.</w:t>
            </w:r>
          </w:p>
        </w:tc>
      </w:tr>
    </w:tbl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POP-N5-T04 · Falha de equipamento, incidente e evento adverso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1338"/>
        <w:gridCol w:w="7734"/>
      </w:tblGrid>
      <w:tr>
        <w:trPr>
          <w:cantSplit/>
          <w:tblHeader/>
        </w:trPr>
        <w:tc>
          <w:tcPr>
            <w:tcW w:type="dxa" w:w="1338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Nº</w:t>
            </w:r>
          </w:p>
        </w:tc>
        <w:tc>
          <w:tcPr>
            <w:tcW w:type="dxa" w:w="773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Passo operacional</w:t>
            </w:r>
          </w:p>
        </w:tc>
      </w:tr>
      <w:tr>
        <w:trPr>
          <w:cantSplit/>
        </w:trPr>
        <w:tc>
          <w:tcPr>
            <w:tcW w:type="dxa" w:w="133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</w:t>
            </w:r>
          </w:p>
        </w:tc>
        <w:tc>
          <w:tcPr>
            <w:tcW w:type="dxa" w:w="773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Interromper o uso diante de falha, comportamento inesperado ou risco potencial ao paciente.</w:t>
            </w:r>
          </w:p>
        </w:tc>
      </w:tr>
      <w:tr>
        <w:trPr>
          <w:cantSplit/>
        </w:trPr>
        <w:tc>
          <w:tcPr>
            <w:tcW w:type="dxa" w:w="133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2</w:t>
            </w:r>
          </w:p>
        </w:tc>
        <w:tc>
          <w:tcPr>
            <w:tcW w:type="dxa" w:w="773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Priorizar a avaliação e o cuidado clínico do paciente, seguindo o fluxograma de intercorrências aplicável.</w:t>
            </w:r>
          </w:p>
        </w:tc>
      </w:tr>
      <w:tr>
        <w:trPr>
          <w:cantSplit/>
        </w:trPr>
        <w:tc>
          <w:tcPr>
            <w:tcW w:type="dxa" w:w="133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3</w:t>
            </w:r>
          </w:p>
        </w:tc>
        <w:tc>
          <w:tcPr>
            <w:tcW w:type="dxa" w:w="773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Segregar e identificar o equipamento quando houver suspeita de falha técnica, preservando evidências e rastreabilidade.</w:t>
            </w:r>
          </w:p>
        </w:tc>
      </w:tr>
      <w:tr>
        <w:trPr>
          <w:cantSplit/>
        </w:trPr>
        <w:tc>
          <w:tcPr>
            <w:tcW w:type="dxa" w:w="133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4</w:t>
            </w:r>
          </w:p>
        </w:tc>
        <w:tc>
          <w:tcPr>
            <w:tcW w:type="dxa" w:w="773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Registrar circunstâncias, parâmetros, identificação do equipamento, consumíveis, sequência temporal e medidas adotadas.</w:t>
            </w:r>
          </w:p>
        </w:tc>
      </w:tr>
      <w:tr>
        <w:trPr>
          <w:cantSplit/>
        </w:trPr>
        <w:tc>
          <w:tcPr>
            <w:tcW w:type="dxa" w:w="133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5</w:t>
            </w:r>
          </w:p>
        </w:tc>
        <w:tc>
          <w:tcPr>
            <w:tcW w:type="dxa" w:w="773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Avaliar a necessidade de assistência técnica, de notificação sanitária e de comunicação ao fabricante ou detentor do registro, conforme aplicável.</w:t>
            </w:r>
          </w:p>
        </w:tc>
      </w:tr>
      <w:tr>
        <w:trPr>
          <w:cantSplit/>
        </w:trPr>
        <w:tc>
          <w:tcPr>
            <w:tcW w:type="dxa" w:w="133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6</w:t>
            </w:r>
          </w:p>
        </w:tc>
        <w:tc>
          <w:tcPr>
            <w:tcW w:type="dxa" w:w="773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Realizar análise de causa e ação corretiva antes da liberação para novo uso.</w:t>
            </w:r>
          </w:p>
        </w:tc>
      </w:tr>
    </w:tbl>
    <w:p>
      <w:pPr>
        <w:keepNext/>
        <w:spacing w:before="240" w:after="80"/>
        <w:jc w:val="left"/>
      </w:pPr>
      <w:r>
        <w:rPr>
          <w:rFonts w:ascii="Calibri" w:hAnsi="Calibri"/>
          <w:b/>
          <w:color w:val="143C64"/>
          <w:sz w:val="26"/>
        </w:rPr>
        <w:t>POP-N5-T05 · Biossegurança e documentação fotográfica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1338"/>
        <w:gridCol w:w="7734"/>
      </w:tblGrid>
      <w:tr>
        <w:trPr>
          <w:cantSplit/>
          <w:tblHeader/>
        </w:trPr>
        <w:tc>
          <w:tcPr>
            <w:tcW w:type="dxa" w:w="1338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Nº</w:t>
            </w:r>
          </w:p>
        </w:tc>
        <w:tc>
          <w:tcPr>
            <w:tcW w:type="dxa" w:w="773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Passo operacional</w:t>
            </w:r>
          </w:p>
        </w:tc>
      </w:tr>
      <w:tr>
        <w:trPr>
          <w:cantSplit/>
        </w:trPr>
        <w:tc>
          <w:tcPr>
            <w:tcW w:type="dxa" w:w="133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1</w:t>
            </w:r>
          </w:p>
        </w:tc>
        <w:tc>
          <w:tcPr>
            <w:tcW w:type="dxa" w:w="773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Higienizar as mãos conforme protocolo antes e após cada procedimento.</w:t>
            </w:r>
          </w:p>
        </w:tc>
      </w:tr>
      <w:tr>
        <w:trPr>
          <w:cantSplit/>
        </w:trPr>
        <w:tc>
          <w:tcPr>
            <w:tcW w:type="dxa" w:w="133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2</w:t>
            </w:r>
          </w:p>
        </w:tc>
        <w:tc>
          <w:tcPr>
            <w:tcW w:type="dxa" w:w="773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Utilizar equipamentos de proteção individual adequados ao procedimento executado.</w:t>
            </w:r>
          </w:p>
        </w:tc>
      </w:tr>
      <w:tr>
        <w:trPr>
          <w:cantSplit/>
        </w:trPr>
        <w:tc>
          <w:tcPr>
            <w:tcW w:type="dxa" w:w="133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3</w:t>
            </w:r>
          </w:p>
        </w:tc>
        <w:tc>
          <w:tcPr>
            <w:tcW w:type="dxa" w:w="773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Descartar materiais perfurocortantes em recipiente apropriado e conforme norma aplicável.</w:t>
            </w:r>
          </w:p>
        </w:tc>
      </w:tr>
      <w:tr>
        <w:trPr>
          <w:cantSplit/>
        </w:trPr>
        <w:tc>
          <w:tcPr>
            <w:tcW w:type="dxa" w:w="133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4</w:t>
            </w:r>
          </w:p>
        </w:tc>
        <w:tc>
          <w:tcPr>
            <w:tcW w:type="dxa" w:w="773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Realizar limpeza e desinfecção de superfícies e equipamentos entre pacientes.</w:t>
            </w:r>
          </w:p>
        </w:tc>
      </w:tr>
      <w:tr>
        <w:trPr>
          <w:cantSplit/>
        </w:trPr>
        <w:tc>
          <w:tcPr>
            <w:tcW w:type="dxa" w:w="133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5</w:t>
            </w:r>
          </w:p>
        </w:tc>
        <w:tc>
          <w:tcPr>
            <w:tcW w:type="dxa" w:w="773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Realizar documentação fotográfica padronizada em vistas frontal, oblíquas e de perfil, mantendo iluminação, fundo, distância e enquadramento constantes entre sessões.</w:t>
            </w:r>
          </w:p>
        </w:tc>
      </w:tr>
      <w:tr>
        <w:trPr>
          <w:cantSplit/>
        </w:trPr>
        <w:tc>
          <w:tcPr>
            <w:tcW w:type="dxa" w:w="133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6</w:t>
            </w:r>
          </w:p>
        </w:tc>
        <w:tc>
          <w:tcPr>
            <w:tcW w:type="dxa" w:w="773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Obter consentimento específico para uso de imagem, separado do consentimento do procedimento, com finalidade declarada.</w:t>
            </w:r>
          </w:p>
        </w:tc>
      </w:tr>
      <w:tr>
        <w:trPr>
          <w:cantSplit/>
        </w:trPr>
        <w:tc>
          <w:tcPr>
            <w:tcW w:type="dxa" w:w="133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7</w:t>
            </w:r>
          </w:p>
        </w:tc>
        <w:tc>
          <w:tcPr>
            <w:tcW w:type="dxa" w:w="773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Armazenar as imagens no prontuário, com data e finalidade clínica, sob controle de acesso.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  <w:tblBorders>
          <w:top w:val="single" w:sz="4" w:space="0" w:color="EAF0F6"/>
          <w:bottom w:val="single" w:sz="4" w:space="0" w:color="EAF0F6"/>
          <w:right w:val="single" w:sz="4" w:space="0" w:color="EAF0F6"/>
          <w:insideH w:val="single" w:sz="4" w:space="0" w:color="EAF0F6"/>
          <w:insideV w:val="single" w:sz="4" w:space="0" w:color="EAF0F6"/>
          <w:left w:val="single" w:sz="24" w:space="0" w:color="143C64"/>
        </w:tblBorders>
        <w:tblLayout w:type="fixed"/>
      </w:tblPr>
      <w:tblGrid>
        <w:gridCol w:w="9072"/>
      </w:tblGrid>
      <w:tr>
        <w:tc>
          <w:tcPr>
            <w:tcW w:type="dxa" w:w="9072"/>
            <w:shd w:val="clear" w:color="auto" w:fill="EAF0F6"/>
          </w:tcPr>
          <w:p>
            <w:pPr>
              <w:spacing w:after="60"/>
              <w:jc w:val="left"/>
            </w:pPr>
            <w:r/>
            <w:r>
              <w:rPr>
                <w:rFonts w:ascii="Calibri" w:hAnsi="Calibri"/>
                <w:b/>
                <w:color w:val="143C64"/>
                <w:sz w:val="24"/>
              </w:rPr>
              <w:t>Limite técnico deliberado</w:t>
            </w:r>
          </w:p>
          <w:p>
            <w:pPr>
              <w:spacing w:after="0"/>
              <w:jc w:val="both"/>
            </w:pPr>
            <w:r>
              <w:rPr>
                <w:rFonts w:ascii="Calibri" w:hAnsi="Calibri"/>
                <w:color w:val="1A1A1A"/>
                <w:sz w:val="24"/>
              </w:rPr>
              <w:t>Os cinco POPs acima estão completos porque tratam de governança, de biossegurança, de rastreabilidade e de segurança do serviço. POP clínico de operação de equipamento ou de aplicação de produto específico somente pode ser fechado após a definição do modelo ou do produto, a conferência das instruções de uso e a deliberação do colegiado. Manter esses campos em branco não é lacuna do pacote: é a recusa deliberada de inventar dose, energia ou parâmetro dependente de produto.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Cartão de consulta rápida</w:t>
      </w:r>
    </w:p>
    <w:p>
      <w:pPr>
        <w:spacing w:after="120"/>
        <w:jc w:val="both"/>
      </w:pPr>
      <w:r>
        <w:rPr>
          <w:rFonts w:ascii="Calibri" w:hAnsi="Calibri"/>
          <w:b w:val="0"/>
          <w:i w:val="0"/>
          <w:color w:val="1A1A1A"/>
          <w:sz w:val="24"/>
        </w:rPr>
        <w:t>POP completo não se lê na cadeira. Em uma intercorrência, o profissional precisa de quatro passos visíveis em uma página, e não de doze campos de governança. O cartão de consulta rápida resolve isso sem enfraquecer o POP, porque é derivado dele e nunca o substitui.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995"/>
        <w:gridCol w:w="5077"/>
      </w:tblGrid>
      <w:tr>
        <w:trPr>
          <w:cantSplit/>
          <w:tblHeader/>
        </w:trPr>
        <w:tc>
          <w:tcPr>
            <w:tcW w:type="dxa" w:w="3995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Regra</w:t>
            </w:r>
          </w:p>
        </w:tc>
        <w:tc>
          <w:tcPr>
            <w:tcW w:type="dxa" w:w="507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Conteúdo</w:t>
            </w:r>
          </w:p>
        </w:tc>
      </w:tr>
      <w:tr>
        <w:trPr>
          <w:cantSplit/>
        </w:trPr>
        <w:tc>
          <w:tcPr>
            <w:tcW w:type="dxa" w:w="399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Origem</w:t>
            </w:r>
          </w:p>
        </w:tc>
        <w:tc>
          <w:tcPr>
            <w:tcW w:type="dxa" w:w="50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Todo cartão deriva de um POP aprovado pelo colegiado. Não existe cartão sem POP.</w:t>
            </w:r>
          </w:p>
        </w:tc>
      </w:tr>
      <w:tr>
        <w:trPr>
          <w:cantSplit/>
        </w:trPr>
        <w:tc>
          <w:tcPr>
            <w:tcW w:type="dxa" w:w="399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Estrutura</w:t>
            </w:r>
          </w:p>
        </w:tc>
        <w:tc>
          <w:tcPr>
            <w:tcW w:type="dxa" w:w="50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Página única, quatro passos numerados, tipografia ampliada, um ícone por passo para reconhecimento visual.</w:t>
            </w:r>
          </w:p>
        </w:tc>
      </w:tr>
      <w:tr>
        <w:trPr>
          <w:cantSplit/>
        </w:trPr>
        <w:tc>
          <w:tcPr>
            <w:tcW w:type="dxa" w:w="399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Identificação obrigatória</w:t>
            </w:r>
          </w:p>
        </w:tc>
        <w:tc>
          <w:tcPr>
            <w:tcW w:type="dxa" w:w="50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Código do POP de origem, versão e data. Sem esses três dados, o cartão não pode circular.</w:t>
            </w:r>
          </w:p>
        </w:tc>
      </w:tr>
      <w:tr>
        <w:trPr>
          <w:cantSplit/>
        </w:trPr>
        <w:tc>
          <w:tcPr>
            <w:tcW w:type="dxa" w:w="399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Conteúdo vedado</w:t>
            </w:r>
          </w:p>
        </w:tc>
        <w:tc>
          <w:tcPr>
            <w:tcW w:type="dxa" w:w="50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Dose, parâmetro, marca, nome comercial e qualquer conduta que não conste do POP de origem.</w:t>
            </w:r>
          </w:p>
        </w:tc>
      </w:tr>
      <w:tr>
        <w:trPr>
          <w:cantSplit/>
        </w:trPr>
        <w:tc>
          <w:tcPr>
            <w:tcW w:type="dxa" w:w="399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Rodapé obrigatório</w:t>
            </w:r>
          </w:p>
        </w:tc>
        <w:tc>
          <w:tcPr>
            <w:tcW w:type="dxa" w:w="50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Aviso de que o cartão é auxiliar de memória e não substitui o POP, o prontuário nem a avaliação clínica.</w:t>
            </w:r>
          </w:p>
        </w:tc>
      </w:tr>
      <w:tr>
        <w:trPr>
          <w:cantSplit/>
        </w:trPr>
        <w:tc>
          <w:tcPr>
            <w:tcW w:type="dxa" w:w="3995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Atualização</w:t>
            </w:r>
          </w:p>
        </w:tc>
        <w:tc>
          <w:tcPr>
            <w:tcW w:type="dxa" w:w="50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Revisão do POP obriga revisão do cartão na mesma data. Cartão desatualizado deve ser recolhido.</w:t>
            </w:r>
          </w:p>
        </w:tc>
      </w:tr>
      <w:tr>
        <w:trPr>
          <w:cantSplit/>
        </w:trPr>
        <w:tc>
          <w:tcPr>
            <w:tcW w:type="dxa" w:w="3995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1A1A1A"/>
                <w:sz w:val="24"/>
              </w:rPr>
              <w:t>Uso da marca</w:t>
            </w:r>
          </w:p>
        </w:tc>
        <w:tc>
          <w:tcPr>
            <w:tcW w:type="dxa" w:w="50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Emprego da identidade visual do CRO-MG depende de validação da Diretoria Executiva e da área de Comunicação.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  <w:tblBorders>
          <w:top w:val="single" w:sz="4" w:space="0" w:color="EAF0F6"/>
          <w:bottom w:val="single" w:sz="4" w:space="0" w:color="EAF0F6"/>
          <w:right w:val="single" w:sz="4" w:space="0" w:color="EAF0F6"/>
          <w:insideH w:val="single" w:sz="4" w:space="0" w:color="EAF0F6"/>
          <w:insideV w:val="single" w:sz="4" w:space="0" w:color="EAF0F6"/>
          <w:left w:val="single" w:sz="24" w:space="0" w:color="143C64"/>
        </w:tblBorders>
        <w:tblLayout w:type="fixed"/>
      </w:tblPr>
      <w:tblGrid>
        <w:gridCol w:w="9072"/>
      </w:tblGrid>
      <w:tr>
        <w:tc>
          <w:tcPr>
            <w:tcW w:type="dxa" w:w="9072"/>
            <w:shd w:val="clear" w:color="auto" w:fill="EAF0F6"/>
          </w:tcPr>
          <w:p>
            <w:pPr>
              <w:spacing w:after="60"/>
              <w:jc w:val="left"/>
            </w:pPr>
            <w:r/>
            <w:r>
              <w:rPr>
                <w:rFonts w:ascii="Calibri" w:hAnsi="Calibri"/>
                <w:b/>
                <w:color w:val="143C64"/>
                <w:sz w:val="24"/>
              </w:rPr>
              <w:t>Por que o cartão não pode virar o produto principal</w:t>
            </w:r>
          </w:p>
          <w:p>
            <w:pPr>
              <w:spacing w:after="0"/>
              <w:jc w:val="both"/>
            </w:pPr>
            <w:r>
              <w:rPr>
                <w:rFonts w:ascii="Calibri" w:hAnsi="Calibri"/>
                <w:color w:val="1A1A1A"/>
                <w:sz w:val="24"/>
              </w:rPr>
              <w:t>Um auxiliar de memória de quatro passos não é auditável, não registra fonte, não declara nível de evidência e não permite revisão sistemática. A norma sanitária exige do serviço a série documental completa, não o resumo dela. O cartão amplia o alcance do POP; se passar a substituí-lo, elimina justamente aquilo que dá sustentação ao conteúdo que ele resume.</w:t>
            </w:r>
          </w:p>
        </w:tc>
      </w:tr>
    </w:tbl>
    <w:p>
      <w:pPr>
        <w:spacing w:after="80"/>
      </w:pPr>
    </w:p>
    <w:p>
      <w:pPr>
        <w:keepNext/>
        <w:spacing w:before="360" w:after="160"/>
        <w:jc w:val="left"/>
        <w:pBdr>
          <w:bottom w:val="single" w:sz="8" w:space="4" w:color="143C64"/>
        </w:pBdr>
      </w:pPr>
      <w:r>
        <w:rPr>
          <w:rFonts w:ascii="Calibri" w:hAnsi="Calibri"/>
          <w:b/>
          <w:color w:val="143C64"/>
          <w:sz w:val="30"/>
        </w:rPr>
        <w:t>Controle de produção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C2CC"/>
          <w:left w:val="single" w:sz="6" w:space="0" w:color="B9C2CC"/>
          <w:bottom w:val="single" w:sz="6" w:space="0" w:color="B9C2CC"/>
          <w:right w:val="single" w:sz="6" w:space="0" w:color="B9C2CC"/>
          <w:insideH w:val="single" w:sz="6" w:space="0" w:color="B9C2CC"/>
          <w:insideV w:val="single" w:sz="6" w:space="0" w:color="B9C2CC"/>
        </w:tblBorders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1844"/>
        <w:gridCol w:w="2787"/>
        <w:gridCol w:w="1376"/>
        <w:gridCol w:w="1377"/>
        <w:gridCol w:w="1688"/>
      </w:tblGrid>
      <w:tr>
        <w:trPr>
          <w:cantSplit/>
          <w:tblHeader/>
        </w:trPr>
        <w:tc>
          <w:tcPr>
            <w:tcW w:type="dxa" w:w="1844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Código</w:t>
            </w:r>
          </w:p>
        </w:tc>
        <w:tc>
          <w:tcPr>
            <w:tcW w:type="dxa" w:w="278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Tema</w:t>
            </w:r>
          </w:p>
        </w:tc>
        <w:tc>
          <w:tcPr>
            <w:tcW w:type="dxa" w:w="1376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Redação</w:t>
            </w:r>
          </w:p>
        </w:tc>
        <w:tc>
          <w:tcPr>
            <w:tcW w:type="dxa" w:w="1377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Revisão por par</w:t>
            </w:r>
          </w:p>
        </w:tc>
        <w:tc>
          <w:tcPr>
            <w:tcW w:type="dxa" w:w="1688"/>
            <w:shd w:val="clear" w:color="auto" w:fill="143C6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/>
                <w:color w:val="FFFFFF"/>
                <w:sz w:val="24"/>
              </w:rPr>
              <w:t>Situação</w:t>
            </w:r>
          </w:p>
        </w:tc>
      </w:tr>
      <w:tr>
        <w:trPr>
          <w:cantSplit/>
        </w:trPr>
        <w:tc>
          <w:tcPr>
            <w:tcW w:type="dxa" w:w="18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POP-N5-01</w:t>
            </w:r>
          </w:p>
        </w:tc>
        <w:tc>
          <w:tcPr>
            <w:tcW w:type="dxa" w:w="278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Consulta, avaliação e planejamento</w:t>
            </w:r>
          </w:p>
        </w:tc>
        <w:tc>
          <w:tcPr>
            <w:tcW w:type="dxa" w:w="13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POP-N5-02</w:t>
            </w:r>
          </w:p>
        </w:tc>
        <w:tc>
          <w:tcPr>
            <w:tcW w:type="dxa" w:w="278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Preenchimento com ácido hialurônico</w:t>
            </w:r>
          </w:p>
        </w:tc>
        <w:tc>
          <w:tcPr>
            <w:tcW w:type="dxa" w:w="13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POP-N5-03</w:t>
            </w:r>
          </w:p>
        </w:tc>
        <w:tc>
          <w:tcPr>
            <w:tcW w:type="dxa" w:w="278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Bioestimuladores de colágeno</w:t>
            </w:r>
          </w:p>
        </w:tc>
        <w:tc>
          <w:tcPr>
            <w:tcW w:type="dxa" w:w="13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POP-N5-04</w:t>
            </w:r>
          </w:p>
        </w:tc>
        <w:tc>
          <w:tcPr>
            <w:tcW w:type="dxa" w:w="278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Toxina botulínica</w:t>
            </w:r>
          </w:p>
        </w:tc>
        <w:tc>
          <w:tcPr>
            <w:tcW w:type="dxa" w:w="13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POP-N5-05</w:t>
            </w:r>
          </w:p>
        </w:tc>
        <w:tc>
          <w:tcPr>
            <w:tcW w:type="dxa" w:w="278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Suspeita de comprometimento vascular</w:t>
            </w:r>
          </w:p>
        </w:tc>
        <w:tc>
          <w:tcPr>
            <w:tcW w:type="dxa" w:w="13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POP-N5-06</w:t>
            </w:r>
          </w:p>
        </w:tc>
        <w:tc>
          <w:tcPr>
            <w:tcW w:type="dxa" w:w="278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Manejo de intercorrência e uso de agente reversor</w:t>
            </w:r>
          </w:p>
        </w:tc>
        <w:tc>
          <w:tcPr>
            <w:tcW w:type="dxa" w:w="13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POP-N5-07</w:t>
            </w:r>
          </w:p>
        </w:tc>
        <w:tc>
          <w:tcPr>
            <w:tcW w:type="dxa" w:w="278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Atendimento das intercorrências, fluxo geral</w:t>
            </w:r>
          </w:p>
        </w:tc>
        <w:tc>
          <w:tcPr>
            <w:tcW w:type="dxa" w:w="13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POP-N5-08</w:t>
            </w:r>
          </w:p>
        </w:tc>
        <w:tc>
          <w:tcPr>
            <w:tcW w:type="dxa" w:w="278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Kit e fluxo de emergência</w:t>
            </w:r>
          </w:p>
        </w:tc>
        <w:tc>
          <w:tcPr>
            <w:tcW w:type="dxa" w:w="13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POP-N5-09</w:t>
            </w:r>
          </w:p>
        </w:tc>
        <w:tc>
          <w:tcPr>
            <w:tcW w:type="dxa" w:w="278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Nódulos e alterações tardias</w:t>
            </w:r>
          </w:p>
        </w:tc>
        <w:tc>
          <w:tcPr>
            <w:tcW w:type="dxa" w:w="13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POP-N5-10</w:t>
            </w:r>
          </w:p>
        </w:tc>
        <w:tc>
          <w:tcPr>
            <w:tcW w:type="dxa" w:w="278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Infecção e abscesso pós-procedimento</w:t>
            </w:r>
          </w:p>
        </w:tc>
        <w:tc>
          <w:tcPr>
            <w:tcW w:type="dxa" w:w="13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POP-N5-11</w:t>
            </w:r>
          </w:p>
        </w:tc>
        <w:tc>
          <w:tcPr>
            <w:tcW w:type="dxa" w:w="278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Tecnologia baseada em energia</w:t>
            </w:r>
          </w:p>
        </w:tc>
        <w:tc>
          <w:tcPr>
            <w:tcW w:type="dxa" w:w="13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POP-N5-12</w:t>
            </w:r>
          </w:p>
        </w:tc>
        <w:tc>
          <w:tcPr>
            <w:tcW w:type="dxa" w:w="278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Eletromecânicas e apoio cirúrgico</w:t>
            </w:r>
          </w:p>
        </w:tc>
        <w:tc>
          <w:tcPr>
            <w:tcW w:type="dxa" w:w="13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POP-N5-13</w:t>
            </w:r>
          </w:p>
        </w:tc>
        <w:tc>
          <w:tcPr>
            <w:tcW w:type="dxa" w:w="278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Documentação fotográfica padronizada</w:t>
            </w:r>
          </w:p>
        </w:tc>
        <w:tc>
          <w:tcPr>
            <w:tcW w:type="dxa" w:w="13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POP-N5-14</w:t>
            </w:r>
          </w:p>
        </w:tc>
        <w:tc>
          <w:tcPr>
            <w:tcW w:type="dxa" w:w="278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Procedimentos apoiados por imagem</w:t>
            </w:r>
          </w:p>
        </w:tc>
        <w:tc>
          <w:tcPr>
            <w:tcW w:type="dxa" w:w="13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POP-N5-15</w:t>
            </w:r>
          </w:p>
        </w:tc>
        <w:tc>
          <w:tcPr>
            <w:tcW w:type="dxa" w:w="278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Aquisição, laudo e guarda de imagem</w:t>
            </w:r>
          </w:p>
        </w:tc>
        <w:tc>
          <w:tcPr>
            <w:tcW w:type="dxa" w:w="13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</w:tr>
      <w:tr>
        <w:trPr>
          <w:cantSplit/>
        </w:trPr>
        <w:tc>
          <w:tcPr>
            <w:tcW w:type="dxa" w:w="18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POP-N5-T01</w:t>
            </w:r>
          </w:p>
        </w:tc>
        <w:tc>
          <w:tcPr>
            <w:tcW w:type="dxa" w:w="278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Verificação regulatória e documental pré-uso</w:t>
            </w:r>
          </w:p>
        </w:tc>
        <w:tc>
          <w:tcPr>
            <w:tcW w:type="dxa" w:w="13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Concluído</w:t>
            </w:r>
          </w:p>
        </w:tc>
      </w:tr>
      <w:tr>
        <w:trPr>
          <w:cantSplit/>
        </w:trPr>
        <w:tc>
          <w:tcPr>
            <w:tcW w:type="dxa" w:w="18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POP-N5-T02</w:t>
            </w:r>
          </w:p>
        </w:tc>
        <w:tc>
          <w:tcPr>
            <w:tcW w:type="dxa" w:w="278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Manutenção, calibração, conservação e controle de desempenho</w:t>
            </w:r>
          </w:p>
        </w:tc>
        <w:tc>
          <w:tcPr>
            <w:tcW w:type="dxa" w:w="13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Concluído</w:t>
            </w:r>
          </w:p>
        </w:tc>
      </w:tr>
      <w:tr>
        <w:trPr>
          <w:cantSplit/>
        </w:trPr>
        <w:tc>
          <w:tcPr>
            <w:tcW w:type="dxa" w:w="18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POP-N5-T03</w:t>
            </w:r>
          </w:p>
        </w:tc>
        <w:tc>
          <w:tcPr>
            <w:tcW w:type="dxa" w:w="278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Rastreabilidade da sessão e documentação clínica</w:t>
            </w:r>
          </w:p>
        </w:tc>
        <w:tc>
          <w:tcPr>
            <w:tcW w:type="dxa" w:w="13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Concluído</w:t>
            </w:r>
          </w:p>
        </w:tc>
      </w:tr>
      <w:tr>
        <w:trPr>
          <w:cantSplit/>
        </w:trPr>
        <w:tc>
          <w:tcPr>
            <w:tcW w:type="dxa" w:w="1844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POP-N5-T04</w:t>
            </w:r>
          </w:p>
        </w:tc>
        <w:tc>
          <w:tcPr>
            <w:tcW w:type="dxa" w:w="278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Falha de equipamento, incidente e evento adverso</w:t>
            </w:r>
          </w:p>
        </w:tc>
        <w:tc>
          <w:tcPr>
            <w:tcW w:type="dxa" w:w="1376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Concluído</w:t>
            </w:r>
          </w:p>
        </w:tc>
      </w:tr>
      <w:tr>
        <w:trPr>
          <w:cantSplit/>
        </w:trPr>
        <w:tc>
          <w:tcPr>
            <w:tcW w:type="dxa" w:w="1844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POP-N5-T05</w:t>
            </w:r>
          </w:p>
        </w:tc>
        <w:tc>
          <w:tcPr>
            <w:tcW w:type="dxa" w:w="278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Biossegurança e documentação fotográfica</w:t>
            </w:r>
          </w:p>
        </w:tc>
        <w:tc>
          <w:tcPr>
            <w:tcW w:type="dxa" w:w="1376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377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___</w:t>
            </w:r>
          </w:p>
        </w:tc>
        <w:tc>
          <w:tcPr>
            <w:tcW w:type="dxa" w:w="1688"/>
            <w:shd w:val="clear" w:color="auto" w:fill="F2F5F8"/>
          </w:tcPr>
          <w:p>
            <w:pPr>
              <w:spacing w:after="0"/>
              <w:jc w:val="left"/>
            </w:pPr>
            <w:r/>
            <w:r>
              <w:rPr>
                <w:rFonts w:ascii="Calibri" w:hAnsi="Calibri"/>
                <w:b w:val="0"/>
                <w:color w:val="1A1A1A"/>
                <w:sz w:val="24"/>
              </w:rPr>
              <w:t>Concluído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/>
        <w:color w:val="444A52"/>
        <w:sz w:val="18"/>
      </w:rPr>
      <w:t>N5-INST-01 · Modelo Mestre de POP · versão 1.0 · documento técnico-consultivo · uso interno do Núcleo 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rFonts w:ascii="Calibri" w:hAnsi="Calibri"/>
        <w:color w:val="444A52"/>
        <w:sz w:val="18"/>
      </w:rPr>
      <w:t>Núcleo 5 · CT-HOF · CRO-MG   |   N5-INST-01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Calibri" w:hAnsi="Calibri" w:eastAsia="Calibri"/>
      <w:color w:val="1A1A1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