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DOCUMENTO DE CIRCULAÇÃO AMPLA</w:t>
      </w:r>
    </w:p>
    <w:p>
      <w:pPr>
        <w:spacing w:after="160"/>
        <w:jc w:val="center"/>
      </w:pPr>
      <w:r>
        <w:rPr>
          <w:rFonts w:ascii="Calibri" w:hAnsi="Calibri"/>
          <w:b/>
          <w:color w:val="143C64"/>
          <w:sz w:val="48"/>
        </w:rPr>
        <w:t>Nota Técnica sobre Conformidade Regulatória</w:t>
      </w:r>
    </w:p>
    <w:p>
      <w:pPr>
        <w:spacing w:after="720"/>
        <w:jc w:val="center"/>
      </w:pPr>
      <w:r>
        <w:rPr>
          <w:rFonts w:ascii="Calibri" w:hAnsi="Calibri"/>
          <w:b w:val="0"/>
          <w:i w:val="0"/>
          <w:color w:val="444A52"/>
          <w:sz w:val="26"/>
        </w:rPr>
        <w:t>Roteiro objetivo de verificação regulatória e sanitária antes da aquisição e do uso de produtos e equipamentos em Harmonização Orofacial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CT-HOF-NT-01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Submetida à validação institucional para circulação ao inscrito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A quem se destina e o que não é</w:t>
      </w:r>
    </w:p>
    <w:p>
      <w:pPr>
        <w:spacing w:after="120"/>
        <w:jc w:val="both"/>
      </w:pPr>
      <w:r>
        <w:rPr>
          <w:rFonts w:ascii="Calibri" w:hAnsi="Calibri"/>
          <w:b w:val="0"/>
          <w:i w:val="0"/>
          <w:color w:val="1A1A1A"/>
          <w:sz w:val="24"/>
        </w:rPr>
        <w:t>Esta nota é dirigida ao cirurgião-dentista que atua em Harmonização Orofacial e ao Responsável Técnico de serviço. Ela resume, em linguagem direta, o que verificar antes de adquirir e antes de usar. É documento técnico-consultivo: não cria obrigação além da norma vigente, não substitui a leitura dos atos citados e não homologa produtos.</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As quatro camadas que incidem ao mesmo tempo</w:t>
      </w:r>
    </w:p>
    <w:p>
      <w:pPr>
        <w:spacing w:after="120"/>
        <w:jc w:val="both"/>
      </w:pPr>
      <w:r>
        <w:rPr>
          <w:rFonts w:ascii="Calibri" w:hAnsi="Calibri"/>
          <w:b w:val="0"/>
          <w:i w:val="0"/>
          <w:color w:val="1A1A1A"/>
          <w:sz w:val="24"/>
        </w:rPr>
        <w:t>O erro regulatório mais comum não é desconhecer uma norma. É confundir camadas. Um equipamento pode estar perfeitamente regularizado e ainda assim ser operado em serviço sem licença, por profissional sem capacitação registrada, com produto empregado fora da finalidade aprovada. As quatro perguntas abaixo são independentes e todas precisam ser respondidas.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48"/>
        <w:gridCol w:w="3422"/>
        <w:gridCol w:w="3101"/>
      </w:tblGrid>
      <w:tr>
        <w:trPr>
          <w:cantSplit/>
          <w:tblHeader/>
        </w:trPr>
        <w:tc>
          <w:tcPr>
            <w:tcW w:type="dxa" w:w="2548"/>
            <w:shd w:val="clear" w:color="auto" w:fill="143C64"/>
          </w:tcPr>
          <w:p>
            <w:pPr>
              <w:spacing w:after="0"/>
              <w:jc w:val="left"/>
            </w:pPr>
            <w:r/>
            <w:r>
              <w:rPr>
                <w:rFonts w:ascii="Calibri" w:hAnsi="Calibri"/>
                <w:b/>
                <w:color w:val="FFFFFF"/>
                <w:sz w:val="24"/>
              </w:rPr>
              <w:t>Camada</w:t>
            </w:r>
          </w:p>
        </w:tc>
        <w:tc>
          <w:tcPr>
            <w:tcW w:type="dxa" w:w="3422"/>
            <w:shd w:val="clear" w:color="auto" w:fill="143C64"/>
          </w:tcPr>
          <w:p>
            <w:pPr>
              <w:spacing w:after="0"/>
              <w:jc w:val="left"/>
            </w:pPr>
            <w:r/>
            <w:r>
              <w:rPr>
                <w:rFonts w:ascii="Calibri" w:hAnsi="Calibri"/>
                <w:b/>
                <w:color w:val="FFFFFF"/>
                <w:sz w:val="24"/>
              </w:rPr>
              <w:t>Pergunta</w:t>
            </w:r>
          </w:p>
        </w:tc>
        <w:tc>
          <w:tcPr>
            <w:tcW w:type="dxa" w:w="3101"/>
            <w:shd w:val="clear" w:color="auto" w:fill="143C64"/>
          </w:tcPr>
          <w:p>
            <w:pPr>
              <w:spacing w:after="0"/>
              <w:jc w:val="left"/>
            </w:pPr>
            <w:r/>
            <w:r>
              <w:rPr>
                <w:rFonts w:ascii="Calibri" w:hAnsi="Calibri"/>
                <w:b/>
                <w:color w:val="FFFFFF"/>
                <w:sz w:val="24"/>
              </w:rPr>
              <w:t>Onde verificar</w:t>
            </w:r>
          </w:p>
        </w:tc>
      </w:tr>
      <w:tr>
        <w:trPr>
          <w:cantSplit/>
        </w:trPr>
        <w:tc>
          <w:tcPr>
            <w:tcW w:type="dxa" w:w="2548"/>
          </w:tcPr>
          <w:p>
            <w:pPr>
              <w:spacing w:after="0"/>
              <w:jc w:val="left"/>
            </w:pPr>
            <w:r/>
            <w:r>
              <w:rPr>
                <w:rFonts w:ascii="Calibri" w:hAnsi="Calibri"/>
                <w:b/>
                <w:color w:val="1A1A1A"/>
                <w:sz w:val="24"/>
              </w:rPr>
              <w:t>1. Exercício profissional</w:t>
            </w:r>
          </w:p>
        </w:tc>
        <w:tc>
          <w:tcPr>
            <w:tcW w:type="dxa" w:w="3422"/>
          </w:tcPr>
          <w:p>
            <w:pPr>
              <w:spacing w:after="0"/>
              <w:jc w:val="left"/>
            </w:pPr>
            <w:r/>
            <w:r>
              <w:rPr>
                <w:rFonts w:ascii="Calibri" w:hAnsi="Calibri"/>
                <w:b w:val="0"/>
                <w:color w:val="1A1A1A"/>
                <w:sz w:val="24"/>
              </w:rPr>
              <w:t>Este ato está no meu campo de atuação e em conformidade com o Código de Ética?</w:t>
            </w:r>
          </w:p>
        </w:tc>
        <w:tc>
          <w:tcPr>
            <w:tcW w:type="dxa" w:w="3101"/>
          </w:tcPr>
          <w:p>
            <w:pPr>
              <w:spacing w:after="0"/>
              <w:jc w:val="left"/>
            </w:pPr>
            <w:r/>
            <w:r>
              <w:rPr>
                <w:rFonts w:ascii="Calibri" w:hAnsi="Calibri"/>
                <w:b w:val="0"/>
                <w:color w:val="1A1A1A"/>
                <w:sz w:val="24"/>
              </w:rPr>
              <w:t>Lei nº 5.081/1966; Resolução CFO nº 118/2012; atos do CFO aplicáveis, com atenção às situações contenciosas registradas na seção 5.</w:t>
            </w:r>
          </w:p>
        </w:tc>
      </w:tr>
      <w:tr>
        <w:trPr>
          <w:cantSplit/>
        </w:trPr>
        <w:tc>
          <w:tcPr>
            <w:tcW w:type="dxa" w:w="2548"/>
            <w:shd w:val="clear" w:color="auto" w:fill="F2F5F8"/>
          </w:tcPr>
          <w:p>
            <w:pPr>
              <w:spacing w:after="0"/>
              <w:jc w:val="left"/>
            </w:pPr>
            <w:r/>
            <w:r>
              <w:rPr>
                <w:rFonts w:ascii="Calibri" w:hAnsi="Calibri"/>
                <w:b/>
                <w:color w:val="1A1A1A"/>
                <w:sz w:val="24"/>
              </w:rPr>
              <w:t>2. Produto</w:t>
            </w:r>
          </w:p>
        </w:tc>
        <w:tc>
          <w:tcPr>
            <w:tcW w:type="dxa" w:w="3422"/>
            <w:shd w:val="clear" w:color="auto" w:fill="F2F5F8"/>
          </w:tcPr>
          <w:p>
            <w:pPr>
              <w:spacing w:after="0"/>
              <w:jc w:val="left"/>
            </w:pPr>
            <w:r/>
            <w:r>
              <w:rPr>
                <w:rFonts w:ascii="Calibri" w:hAnsi="Calibri"/>
                <w:b w:val="0"/>
                <w:color w:val="1A1A1A"/>
                <w:sz w:val="24"/>
              </w:rPr>
              <w:t>O produto ou dispositivo está regularizado, e a finalidade aprovada cobre o que pretendo fazer?</w:t>
            </w:r>
          </w:p>
        </w:tc>
        <w:tc>
          <w:tcPr>
            <w:tcW w:type="dxa" w:w="3101"/>
            <w:shd w:val="clear" w:color="auto" w:fill="F2F5F8"/>
          </w:tcPr>
          <w:p>
            <w:pPr>
              <w:spacing w:after="0"/>
              <w:jc w:val="left"/>
            </w:pPr>
            <w:r/>
            <w:r>
              <w:rPr>
                <w:rFonts w:ascii="Calibri" w:hAnsi="Calibri"/>
                <w:b w:val="0"/>
                <w:color w:val="1A1A1A"/>
                <w:sz w:val="24"/>
              </w:rPr>
              <w:t>Consulta à base da Anvisa; RDC nº 751/2022; instruções de uso do fabricante.</w:t>
            </w:r>
          </w:p>
        </w:tc>
      </w:tr>
      <w:tr>
        <w:trPr>
          <w:cantSplit/>
        </w:trPr>
        <w:tc>
          <w:tcPr>
            <w:tcW w:type="dxa" w:w="2548"/>
          </w:tcPr>
          <w:p>
            <w:pPr>
              <w:spacing w:after="0"/>
              <w:jc w:val="left"/>
            </w:pPr>
            <w:r/>
            <w:r>
              <w:rPr>
                <w:rFonts w:ascii="Calibri" w:hAnsi="Calibri"/>
                <w:b/>
                <w:color w:val="1A1A1A"/>
                <w:sz w:val="24"/>
              </w:rPr>
              <w:t>3. Equipamento</w:t>
            </w:r>
          </w:p>
        </w:tc>
        <w:tc>
          <w:tcPr>
            <w:tcW w:type="dxa" w:w="3422"/>
          </w:tcPr>
          <w:p>
            <w:pPr>
              <w:spacing w:after="0"/>
              <w:jc w:val="left"/>
            </w:pPr>
            <w:r/>
            <w:r>
              <w:rPr>
                <w:rFonts w:ascii="Calibri" w:hAnsi="Calibri"/>
                <w:b w:val="0"/>
                <w:color w:val="1A1A1A"/>
                <w:sz w:val="24"/>
              </w:rPr>
              <w:t>O modelo possui a certificação exigida, quando aplicável?</w:t>
            </w:r>
          </w:p>
        </w:tc>
        <w:tc>
          <w:tcPr>
            <w:tcW w:type="dxa" w:w="3101"/>
          </w:tcPr>
          <w:p>
            <w:pPr>
              <w:spacing w:after="0"/>
              <w:jc w:val="left"/>
            </w:pPr>
            <w:r/>
            <w:r>
              <w:rPr>
                <w:rFonts w:ascii="Calibri" w:hAnsi="Calibri"/>
                <w:b w:val="0"/>
                <w:color w:val="1A1A1A"/>
                <w:sz w:val="24"/>
              </w:rPr>
              <w:t>RDC nº 549/2021 e programas de avaliação da conformidade aplicáveis.</w:t>
            </w:r>
          </w:p>
        </w:tc>
      </w:tr>
      <w:tr>
        <w:trPr>
          <w:cantSplit/>
        </w:trPr>
        <w:tc>
          <w:tcPr>
            <w:tcW w:type="dxa" w:w="2548"/>
            <w:shd w:val="clear" w:color="auto" w:fill="F2F5F8"/>
          </w:tcPr>
          <w:p>
            <w:pPr>
              <w:spacing w:after="0"/>
              <w:jc w:val="left"/>
            </w:pPr>
            <w:r/>
            <w:r>
              <w:rPr>
                <w:rFonts w:ascii="Calibri" w:hAnsi="Calibri"/>
                <w:b/>
                <w:color w:val="1A1A1A"/>
                <w:sz w:val="24"/>
              </w:rPr>
              <w:t>4. Serviço</w:t>
            </w:r>
          </w:p>
        </w:tc>
        <w:tc>
          <w:tcPr>
            <w:tcW w:type="dxa" w:w="3422"/>
            <w:shd w:val="clear" w:color="auto" w:fill="F2F5F8"/>
          </w:tcPr>
          <w:p>
            <w:pPr>
              <w:spacing w:after="0"/>
              <w:jc w:val="left"/>
            </w:pPr>
            <w:r/>
            <w:r>
              <w:rPr>
                <w:rFonts w:ascii="Calibri" w:hAnsi="Calibri"/>
                <w:b w:val="0"/>
                <w:color w:val="1A1A1A"/>
                <w:sz w:val="24"/>
              </w:rPr>
              <w:t>O estabelecimento está licenciado, com responsável técnico, série documental, POPs e gerenciamento de tecnologias?</w:t>
            </w:r>
          </w:p>
        </w:tc>
        <w:tc>
          <w:tcPr>
            <w:tcW w:type="dxa" w:w="3101"/>
            <w:shd w:val="clear" w:color="auto" w:fill="F2F5F8"/>
          </w:tcPr>
          <w:p>
            <w:pPr>
              <w:spacing w:after="0"/>
              <w:jc w:val="left"/>
            </w:pPr>
            <w:r/>
            <w:r>
              <w:rPr>
                <w:rFonts w:ascii="Calibri" w:hAnsi="Calibri"/>
                <w:b w:val="0"/>
                <w:color w:val="1A1A1A"/>
                <w:sz w:val="24"/>
              </w:rPr>
              <w:t>RDC nº 1.002/2025, com destaque para o art. 110; RDC nº 63/2011; RDC nº 509/2021; normas sanitárias locais.</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A camada que mais gera exigência em fiscalização</w:t>
            </w:r>
          </w:p>
          <w:p>
            <w:pPr>
              <w:spacing w:after="0"/>
              <w:jc w:val="both"/>
            </w:pPr>
            <w:r>
              <w:rPr>
                <w:rFonts w:ascii="Calibri" w:hAnsi="Calibri"/>
                <w:color w:val="1A1A1A"/>
                <w:sz w:val="24"/>
              </w:rPr>
              <w:t>A RDC Anvisa nº 1.002/2025 dispõe sobre Boas Práticas de Funcionamento para serviços que prestam assistência odontológica. Seu art. 110 determina que o Responsável Técnico elabore e implemente uma Série de Documentos de Boas Práticas de Funcionamento contendo rotinas, protocolos técnicos padronizados, procedimentos operacionais padrão e planos do serviço. É desta camada, e não da discussão sobre especialidade, que decorre diretamente a exigência de POP. Fonte consultada e verificada em 25 de agosto de 2026.</w:t>
            </w:r>
          </w:p>
        </w:tc>
      </w:tr>
    </w:tbl>
    <w:p>
      <w:pPr>
        <w:spacing w:after="80"/>
      </w:pPr>
    </w:p>
    <w:p>
      <w:pPr>
        <w:keepNext/>
        <w:spacing w:before="360" w:after="160"/>
        <w:jc w:val="left"/>
        <w:pBdr>
          <w:bottom w:val="single" w:sz="8" w:space="4" w:color="143C64"/>
        </w:pBdr>
      </w:pPr>
      <w:r>
        <w:rPr>
          <w:rFonts w:ascii="Calibri" w:hAnsi="Calibri"/>
          <w:b/>
          <w:color w:val="143C64"/>
          <w:sz w:val="30"/>
        </w:rPr>
        <w:t>3  Roteiro de verificação antes de adquirir</w:t>
      </w:r>
    </w:p>
    <w:p>
      <w:pPr>
        <w:pStyle w:val="ListNumber"/>
        <w:spacing w:after="60"/>
        <w:ind w:left="397"/>
        <w:jc w:val="both"/>
      </w:pPr>
      <w:r>
        <w:rPr>
          <w:rFonts w:ascii="Calibri" w:hAnsi="Calibri"/>
          <w:color w:val="1A1A1A"/>
          <w:sz w:val="24"/>
        </w:rPr>
        <w:t>Definir a necessidade clínica e o benefício esperado antes de olhar qualquer produto.</w:t>
      </w:r>
    </w:p>
    <w:p>
      <w:pPr>
        <w:pStyle w:val="ListNumber"/>
        <w:spacing w:after="60"/>
        <w:ind w:left="397"/>
        <w:jc w:val="both"/>
      </w:pPr>
      <w:r>
        <w:rPr>
          <w:rFonts w:ascii="Calibri" w:hAnsi="Calibri"/>
          <w:color w:val="1A1A1A"/>
          <w:sz w:val="24"/>
        </w:rPr>
        <w:t>Consultar a regularização na base oficial e registrar número, situação, classe de risco, finalidade aprovada, data da consulta e quem consultou.</w:t>
      </w:r>
    </w:p>
    <w:p>
      <w:pPr>
        <w:pStyle w:val="ListNumber"/>
        <w:spacing w:after="60"/>
        <w:ind w:left="397"/>
        <w:jc w:val="both"/>
      </w:pPr>
      <w:r>
        <w:rPr>
          <w:rFonts w:ascii="Calibri" w:hAnsi="Calibri"/>
          <w:color w:val="1A1A1A"/>
          <w:sz w:val="24"/>
        </w:rPr>
        <w:t>Ler as instruções de uso e conferir se a indicação, a região e a técnica pretendidas estão cobertas.</w:t>
      </w:r>
    </w:p>
    <w:p>
      <w:pPr>
        <w:pStyle w:val="ListNumber"/>
        <w:spacing w:after="60"/>
        <w:ind w:left="397"/>
        <w:jc w:val="both"/>
      </w:pPr>
      <w:r>
        <w:rPr>
          <w:rFonts w:ascii="Calibri" w:hAnsi="Calibri"/>
          <w:color w:val="1A1A1A"/>
          <w:sz w:val="24"/>
        </w:rPr>
        <w:t>Verificar certificação de conformidade quando o equipamento estiver sujeita a ela.</w:t>
      </w:r>
    </w:p>
    <w:p>
      <w:pPr>
        <w:pStyle w:val="ListNumber"/>
        <w:spacing w:after="60"/>
        <w:ind w:left="397"/>
        <w:jc w:val="both"/>
      </w:pPr>
      <w:r>
        <w:rPr>
          <w:rFonts w:ascii="Calibri" w:hAnsi="Calibri"/>
          <w:color w:val="1A1A1A"/>
          <w:sz w:val="24"/>
        </w:rPr>
        <w:t>Verificar alertas sanitários e recolhimentos para o produto ou modelo.</w:t>
      </w:r>
    </w:p>
    <w:p>
      <w:pPr>
        <w:pStyle w:val="ListNumber"/>
        <w:spacing w:after="60"/>
        <w:ind w:left="397"/>
        <w:jc w:val="both"/>
      </w:pPr>
      <w:r>
        <w:rPr>
          <w:rFonts w:ascii="Calibri" w:hAnsi="Calibri"/>
          <w:color w:val="1A1A1A"/>
          <w:sz w:val="24"/>
        </w:rPr>
        <w:t>Avaliar se o serviço tem capacitação, estrutura, manutenção e recursos de contingência para operar com segurança.</w:t>
      </w:r>
    </w:p>
    <w:p>
      <w:pPr>
        <w:pStyle w:val="ListNumber"/>
        <w:spacing w:after="60"/>
        <w:ind w:left="397"/>
        <w:jc w:val="both"/>
      </w:pPr>
      <w:r>
        <w:rPr>
          <w:rFonts w:ascii="Calibri" w:hAnsi="Calibri"/>
          <w:color w:val="1A1A1A"/>
          <w:sz w:val="24"/>
        </w:rPr>
        <w:t>Avaliar se há tratamento de dados pessoais ou de imagem envolvido e se existe base legal.</w:t>
      </w:r>
    </w:p>
    <w:p>
      <w:pPr>
        <w:pStyle w:val="ListNumber"/>
        <w:spacing w:after="60"/>
        <w:ind w:left="397"/>
        <w:jc w:val="both"/>
      </w:pPr>
      <w:r>
        <w:rPr>
          <w:rFonts w:ascii="Calibri" w:hAnsi="Calibri"/>
          <w:color w:val="1A1A1A"/>
          <w:sz w:val="24"/>
        </w:rPr>
        <w:t>Registrar a decisão e arquivar as evidências da consulta.</w:t>
      </w:r>
    </w:p>
    <w:p>
      <w:pPr>
        <w:keepNext/>
        <w:spacing w:before="360" w:after="160"/>
        <w:jc w:val="left"/>
        <w:pBdr>
          <w:bottom w:val="single" w:sz="8" w:space="4" w:color="143C64"/>
        </w:pBdr>
      </w:pPr>
      <w:r>
        <w:rPr>
          <w:rFonts w:ascii="Calibri" w:hAnsi="Calibri"/>
          <w:b/>
          <w:color w:val="143C64"/>
          <w:sz w:val="30"/>
        </w:rPr>
        <w:t>4  Roteiro de verificação antes de usar</w:t>
      </w:r>
    </w:p>
    <w:p>
      <w:pPr>
        <w:pStyle w:val="ListBullet"/>
        <w:spacing w:after="60"/>
        <w:ind w:left="397"/>
        <w:jc w:val="both"/>
      </w:pPr>
      <w:r>
        <w:rPr>
          <w:rFonts w:ascii="Calibri" w:hAnsi="Calibri"/>
          <w:color w:val="1A1A1A"/>
          <w:sz w:val="24"/>
        </w:rPr>
        <w:t>☐  Produto ou equipamento identificado, íntegro, dentro da validade e com lote legível.</w:t>
      </w:r>
    </w:p>
    <w:p>
      <w:pPr>
        <w:pStyle w:val="ListBullet"/>
        <w:spacing w:after="60"/>
        <w:ind w:left="397"/>
        <w:jc w:val="both"/>
      </w:pPr>
      <w:r>
        <w:rPr>
          <w:rFonts w:ascii="Calibri" w:hAnsi="Calibri"/>
          <w:color w:val="1A1A1A"/>
          <w:sz w:val="24"/>
        </w:rPr>
        <w:t>☐  Instruções de uso acessíveis e parâmetros conferidos.</w:t>
      </w:r>
    </w:p>
    <w:p>
      <w:pPr>
        <w:pStyle w:val="ListBullet"/>
        <w:spacing w:after="60"/>
        <w:ind w:left="397"/>
        <w:jc w:val="both"/>
      </w:pPr>
      <w:r>
        <w:rPr>
          <w:rFonts w:ascii="Calibri" w:hAnsi="Calibri"/>
          <w:color w:val="1A1A1A"/>
          <w:sz w:val="24"/>
        </w:rPr>
        <w:t>☐  Manutenção, calibração ou verificação de desempenho em dia, conforme o plano do serviço.</w:t>
      </w:r>
    </w:p>
    <w:p>
      <w:pPr>
        <w:pStyle w:val="ListBullet"/>
        <w:spacing w:after="60"/>
        <w:ind w:left="397"/>
        <w:jc w:val="both"/>
      </w:pPr>
      <w:r>
        <w:rPr>
          <w:rFonts w:ascii="Calibri" w:hAnsi="Calibri"/>
          <w:color w:val="1A1A1A"/>
          <w:sz w:val="24"/>
        </w:rPr>
        <w:t>☐  Recursos de resposta a intercorrência disponíveis, acessíveis e válidos.</w:t>
      </w:r>
    </w:p>
    <w:p>
      <w:pPr>
        <w:pStyle w:val="ListBullet"/>
        <w:spacing w:after="60"/>
        <w:ind w:left="397"/>
        <w:jc w:val="both"/>
      </w:pPr>
      <w:r>
        <w:rPr>
          <w:rFonts w:ascii="Calibri" w:hAnsi="Calibri"/>
          <w:color w:val="1A1A1A"/>
          <w:sz w:val="24"/>
        </w:rPr>
        <w:t>☐  Consentimento específico assinado e orientação escrita preparada.</w:t>
      </w:r>
    </w:p>
    <w:p>
      <w:pPr>
        <w:pStyle w:val="ListBullet"/>
        <w:spacing w:after="60"/>
        <w:ind w:left="397"/>
        <w:jc w:val="both"/>
      </w:pPr>
      <w:r>
        <w:rPr>
          <w:rFonts w:ascii="Calibri" w:hAnsi="Calibri"/>
          <w:color w:val="1A1A1A"/>
          <w:sz w:val="24"/>
        </w:rPr>
        <w:t>☐  Rota de encaminhamento de urgência acessível, inclusive oftalmológica e neurológica.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Sobre calibração e periodicidade</w:t>
            </w:r>
          </w:p>
          <w:p>
            <w:pPr>
              <w:spacing w:after="0"/>
              <w:jc w:val="both"/>
            </w:pPr>
            <w:r>
              <w:rPr>
                <w:rFonts w:ascii="Calibri" w:hAnsi="Calibri"/>
                <w:color w:val="1A1A1A"/>
                <w:sz w:val="24"/>
              </w:rPr>
              <w:t>Não existe periodicidade única de calibração aplicável a todos os equipamentos de Harmonização Orofacial. A frequência decorre da legislação específica, das instruções do fabricante, da intensidade de uso, do histórico de falhas e da criticidade da medição ou da energia entregue. Calibração ou verificação de desempenho da unidade em uso e certificação de conformidade do modelo são controles distintos e complementares, que não se substituem.</w:t>
            </w:r>
          </w:p>
        </w:tc>
      </w:tr>
    </w:tbl>
    <w:p>
      <w:pPr>
        <w:spacing w:after="80"/>
      </w:pPr>
    </w:p>
    <w:p>
      <w:pPr>
        <w:keepNext/>
        <w:spacing w:before="360" w:after="160"/>
        <w:jc w:val="left"/>
        <w:pBdr>
          <w:bottom w:val="single" w:sz="8" w:space="4" w:color="143C64"/>
        </w:pBdr>
      </w:pPr>
      <w:r>
        <w:rPr>
          <w:rFonts w:ascii="Calibri" w:hAnsi="Calibri"/>
          <w:b/>
          <w:color w:val="143C64"/>
          <w:sz w:val="30"/>
        </w:rPr>
        <w:t>5  Situações contenciosas em curso</w:t>
      </w:r>
    </w:p>
    <w:p>
      <w:pPr>
        <w:spacing w:after="120"/>
        <w:jc w:val="both"/>
      </w:pPr>
      <w:r>
        <w:rPr>
          <w:rFonts w:ascii="Calibri" w:hAnsi="Calibri"/>
          <w:b w:val="0"/>
          <w:i w:val="0"/>
          <w:color w:val="1A1A1A"/>
          <w:sz w:val="24"/>
        </w:rPr>
        <w:t>Duas controvérsias judiciais alcançam a camada de exercício profissional na data desta nota. Elas são registradas por dever de atualidade. A Câmara Técnica não se pronuncia sobre o mérito, matéria estranha à sua competência e sob apreciação do Judiciário.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conexa, verificado em 25 de agosto de 2026</w:t>
            </w:r>
          </w:p>
          <w:p>
            <w:pPr>
              <w:spacing w:after="0"/>
              <w:jc w:val="both"/>
            </w:pPr>
            <w:r>
              <w:rPr>
                <w:rFonts w:ascii="Calibri" w:hAnsi="Calibri"/>
                <w:color w:val="1A1A1A"/>
                <w:sz w:val="24"/>
              </w:rPr>
              <w:t>Em 6 de agosto de 2026, a 3ª Vara Federal Cível da Seção Judiciária do Distrito Federal deferiu liminar na Ação Civil Pública nº 1084782-29.2026.4.01.3400, ajuizada pelo Conselho Federal de Medicina, pela Associação Médica Brasileira e pela Sociedade Brasileira de Anestesiologia, suspendendo parcialmente a Resolução CFO nº 295/2026. Conforme as fontes consultadas, a decisão suspendeu os dispositivos que autorizam, regulamentam ou viabilizam a realização de sedação profunda por cirurgiões-dentistas, e vedou ao CFO conceder ou registrar a habilitação correspondente e reconhecer cursos com essa finalidade, tendo o magistrado assentado, em análise preliminar, que a sedação profunda é atividade privativa do médico nos termos da Lei nº 12.842/2013. Registra-se por dever de atualidade, e não como posição do Núcleo sobre o mérito, matéria estranha à sua competência técnica. Consequência operacional para este pacote: nenhum documento do Núcleo 5 pressupõe sedação profunda como recurso disponível, e os POPs e o fluxograma trabalham com medidas de suporte compatíveis com a capacitação do profissional e com o regime jurídico vigente na data desta versão.</w:t>
            </w:r>
          </w:p>
        </w:tc>
      </w:tr>
    </w:tbl>
    <w:p>
      <w:pPr>
        <w:spacing w:after="80"/>
      </w:pPr>
    </w:p>
    <w:p>
      <w:pPr>
        <w:keepNext/>
        <w:spacing w:before="360" w:after="160"/>
        <w:jc w:val="left"/>
        <w:pBdr>
          <w:bottom w:val="single" w:sz="8" w:space="4" w:color="143C64"/>
        </w:pBdr>
      </w:pPr>
      <w:r>
        <w:rPr>
          <w:rFonts w:ascii="Calibri" w:hAnsi="Calibri"/>
          <w:b/>
          <w:color w:val="143C64"/>
          <w:sz w:val="30"/>
        </w:rPr>
        <w:t>6  O que fazer diante da dúvida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95"/>
        <w:gridCol w:w="5277"/>
      </w:tblGrid>
      <w:tr>
        <w:trPr>
          <w:cantSplit/>
          <w:tblHeader/>
        </w:trPr>
        <w:tc>
          <w:tcPr>
            <w:tcW w:type="dxa" w:w="3795"/>
            <w:shd w:val="clear" w:color="auto" w:fill="143C64"/>
          </w:tcPr>
          <w:p>
            <w:pPr>
              <w:spacing w:after="0"/>
              <w:jc w:val="left"/>
            </w:pPr>
            <w:r/>
            <w:r>
              <w:rPr>
                <w:rFonts w:ascii="Calibri" w:hAnsi="Calibri"/>
                <w:b/>
                <w:color w:val="FFFFFF"/>
                <w:sz w:val="24"/>
              </w:rPr>
              <w:t>Situação</w:t>
            </w:r>
          </w:p>
        </w:tc>
        <w:tc>
          <w:tcPr>
            <w:tcW w:type="dxa" w:w="5277"/>
            <w:shd w:val="clear" w:color="auto" w:fill="143C64"/>
          </w:tcPr>
          <w:p>
            <w:pPr>
              <w:spacing w:after="0"/>
              <w:jc w:val="left"/>
            </w:pPr>
            <w:r/>
            <w:r>
              <w:rPr>
                <w:rFonts w:ascii="Calibri" w:hAnsi="Calibri"/>
                <w:b/>
                <w:color w:val="FFFFFF"/>
                <w:sz w:val="24"/>
              </w:rPr>
              <w:t>Conduta recomendada</w:t>
            </w:r>
          </w:p>
        </w:tc>
      </w:tr>
      <w:tr>
        <w:trPr>
          <w:cantSplit/>
        </w:trPr>
        <w:tc>
          <w:tcPr>
            <w:tcW w:type="dxa" w:w="3795"/>
          </w:tcPr>
          <w:p>
            <w:pPr>
              <w:spacing w:after="0"/>
              <w:jc w:val="left"/>
            </w:pPr>
            <w:r/>
            <w:r>
              <w:rPr>
                <w:rFonts w:ascii="Calibri" w:hAnsi="Calibri"/>
                <w:b w:val="0"/>
                <w:color w:val="1A1A1A"/>
                <w:sz w:val="24"/>
              </w:rPr>
              <w:t>Produto sem regularização válida.</w:t>
            </w:r>
          </w:p>
        </w:tc>
        <w:tc>
          <w:tcPr>
            <w:tcW w:type="dxa" w:w="5277"/>
          </w:tcPr>
          <w:p>
            <w:pPr>
              <w:spacing w:after="0"/>
              <w:jc w:val="left"/>
            </w:pPr>
            <w:r/>
            <w:r>
              <w:rPr>
                <w:rFonts w:ascii="Calibri" w:hAnsi="Calibri"/>
                <w:b w:val="0"/>
                <w:color w:val="1A1A1A"/>
                <w:sz w:val="24"/>
              </w:rPr>
              <w:t>Não utilizar. Não há hipótese de uso justificado por resultado clínico.</w:t>
            </w:r>
          </w:p>
        </w:tc>
      </w:tr>
      <w:tr>
        <w:trPr>
          <w:cantSplit/>
        </w:trPr>
        <w:tc>
          <w:tcPr>
            <w:tcW w:type="dxa" w:w="3795"/>
            <w:shd w:val="clear" w:color="auto" w:fill="F2F5F8"/>
          </w:tcPr>
          <w:p>
            <w:pPr>
              <w:spacing w:after="0"/>
              <w:jc w:val="left"/>
            </w:pPr>
            <w:r/>
            <w:r>
              <w:rPr>
                <w:rFonts w:ascii="Calibri" w:hAnsi="Calibri"/>
                <w:b w:val="0"/>
                <w:color w:val="1A1A1A"/>
                <w:sz w:val="24"/>
              </w:rPr>
              <w:t>Produto regularizado, uso fora da indicação aprovada.</w:t>
            </w:r>
          </w:p>
        </w:tc>
        <w:tc>
          <w:tcPr>
            <w:tcW w:type="dxa" w:w="5277"/>
            <w:shd w:val="clear" w:color="auto" w:fill="F2F5F8"/>
          </w:tcPr>
          <w:p>
            <w:pPr>
              <w:spacing w:after="0"/>
              <w:jc w:val="left"/>
            </w:pPr>
            <w:r/>
            <w:r>
              <w:rPr>
                <w:rFonts w:ascii="Calibri" w:hAnsi="Calibri"/>
                <w:b w:val="0"/>
                <w:color w:val="1A1A1A"/>
                <w:sz w:val="24"/>
              </w:rPr>
              <w:t>Ver o comunicado específico da Câmara Técnica sobre o tema. Exige justificativa técnica, informação específica ao paciente e registro reforçado.</w:t>
            </w:r>
          </w:p>
        </w:tc>
      </w:tr>
      <w:tr>
        <w:trPr>
          <w:cantSplit/>
        </w:trPr>
        <w:tc>
          <w:tcPr>
            <w:tcW w:type="dxa" w:w="3795"/>
          </w:tcPr>
          <w:p>
            <w:pPr>
              <w:spacing w:after="0"/>
              <w:jc w:val="left"/>
            </w:pPr>
            <w:r/>
            <w:r>
              <w:rPr>
                <w:rFonts w:ascii="Calibri" w:hAnsi="Calibri"/>
                <w:b w:val="0"/>
                <w:color w:val="1A1A1A"/>
                <w:sz w:val="24"/>
              </w:rPr>
              <w:t>Dúvida sobre exigência sanitária local.</w:t>
            </w:r>
          </w:p>
        </w:tc>
        <w:tc>
          <w:tcPr>
            <w:tcW w:type="dxa" w:w="5277"/>
          </w:tcPr>
          <w:p>
            <w:pPr>
              <w:spacing w:after="0"/>
              <w:jc w:val="left"/>
            </w:pPr>
            <w:r/>
            <w:r>
              <w:rPr>
                <w:rFonts w:ascii="Calibri" w:hAnsi="Calibri"/>
                <w:b w:val="0"/>
                <w:color w:val="1A1A1A"/>
                <w:sz w:val="24"/>
              </w:rPr>
              <w:t>Consultar a Vigilância Sanitária do município ou do estado e arquivar a resposta.</w:t>
            </w:r>
          </w:p>
        </w:tc>
      </w:tr>
      <w:tr>
        <w:trPr>
          <w:cantSplit/>
        </w:trPr>
        <w:tc>
          <w:tcPr>
            <w:tcW w:type="dxa" w:w="3795"/>
            <w:shd w:val="clear" w:color="auto" w:fill="F2F5F8"/>
          </w:tcPr>
          <w:p>
            <w:pPr>
              <w:spacing w:after="0"/>
              <w:jc w:val="left"/>
            </w:pPr>
            <w:r/>
            <w:r>
              <w:rPr>
                <w:rFonts w:ascii="Calibri" w:hAnsi="Calibri"/>
                <w:b w:val="0"/>
                <w:color w:val="1A1A1A"/>
                <w:sz w:val="24"/>
              </w:rPr>
              <w:t>Dúvida sobre campo de atuação.</w:t>
            </w:r>
          </w:p>
        </w:tc>
        <w:tc>
          <w:tcPr>
            <w:tcW w:type="dxa" w:w="5277"/>
            <w:shd w:val="clear" w:color="auto" w:fill="F2F5F8"/>
          </w:tcPr>
          <w:p>
            <w:pPr>
              <w:spacing w:after="0"/>
              <w:jc w:val="left"/>
            </w:pPr>
            <w:r/>
            <w:r>
              <w:rPr>
                <w:rFonts w:ascii="Calibri" w:hAnsi="Calibri"/>
                <w:b w:val="0"/>
                <w:color w:val="1A1A1A"/>
                <w:sz w:val="24"/>
              </w:rPr>
              <w:t>Consultar o CRO-MG pelos canais institucionais. Não presumir a partir de curso, publicidade de fabricante ou prática de terceiros.</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78"/>
        <w:gridCol w:w="3117"/>
        <w:gridCol w:w="3577"/>
      </w:tblGrid>
      <w:tr>
        <w:trPr>
          <w:cantSplit/>
          <w:tblHeader/>
        </w:trPr>
        <w:tc>
          <w:tcPr>
            <w:tcW w:type="dxa" w:w="2378"/>
            <w:shd w:val="clear" w:color="auto" w:fill="143C64"/>
          </w:tcPr>
          <w:p>
            <w:pPr>
              <w:spacing w:after="0"/>
              <w:jc w:val="left"/>
            </w:pPr>
            <w:r/>
            <w:r>
              <w:rPr>
                <w:rFonts w:ascii="Calibri" w:hAnsi="Calibri"/>
                <w:b/>
                <w:color w:val="FFFFFF"/>
                <w:sz w:val="24"/>
              </w:rPr>
              <w:t>Ato</w:t>
            </w:r>
          </w:p>
        </w:tc>
        <w:tc>
          <w:tcPr>
            <w:tcW w:type="dxa" w:w="3117"/>
            <w:shd w:val="clear" w:color="auto" w:fill="143C64"/>
          </w:tcPr>
          <w:p>
            <w:pPr>
              <w:spacing w:after="0"/>
              <w:jc w:val="left"/>
            </w:pPr>
            <w:r/>
            <w:r>
              <w:rPr>
                <w:rFonts w:ascii="Calibri" w:hAnsi="Calibri"/>
                <w:b/>
                <w:color w:val="FFFFFF"/>
                <w:sz w:val="24"/>
              </w:rPr>
              <w:t>Objeto</w:t>
            </w:r>
          </w:p>
        </w:tc>
        <w:tc>
          <w:tcPr>
            <w:tcW w:type="dxa" w:w="3577"/>
            <w:shd w:val="clear" w:color="auto" w:fill="143C64"/>
          </w:tcPr>
          <w:p>
            <w:pPr>
              <w:spacing w:after="0"/>
              <w:jc w:val="left"/>
            </w:pPr>
            <w:r/>
            <w:r>
              <w:rPr>
                <w:rFonts w:ascii="Calibri" w:hAnsi="Calibri"/>
                <w:b/>
                <w:color w:val="FFFFFF"/>
                <w:sz w:val="24"/>
              </w:rPr>
              <w:t>Incidência no pacote</w:t>
            </w:r>
          </w:p>
        </w:tc>
      </w:tr>
      <w:tr>
        <w:trPr>
          <w:cantSplit/>
        </w:trPr>
        <w:tc>
          <w:tcPr>
            <w:tcW w:type="dxa" w:w="2378"/>
          </w:tcPr>
          <w:p>
            <w:pPr>
              <w:spacing w:after="0"/>
              <w:jc w:val="left"/>
            </w:pPr>
            <w:r/>
            <w:r>
              <w:rPr>
                <w:rFonts w:ascii="Calibri" w:hAnsi="Calibri"/>
                <w:b w:val="0"/>
                <w:color w:val="1A1A1A"/>
                <w:sz w:val="24"/>
              </w:rPr>
              <w:t>Lei nº 5.081, de 24 de agosto de 1966</w:t>
            </w:r>
          </w:p>
        </w:tc>
        <w:tc>
          <w:tcPr>
            <w:tcW w:type="dxa" w:w="3117"/>
          </w:tcPr>
          <w:p>
            <w:pPr>
              <w:spacing w:after="0"/>
              <w:jc w:val="left"/>
            </w:pPr>
            <w:r/>
            <w:r>
              <w:rPr>
                <w:rFonts w:ascii="Calibri" w:hAnsi="Calibri"/>
                <w:b w:val="0"/>
                <w:color w:val="1A1A1A"/>
                <w:sz w:val="24"/>
              </w:rPr>
              <w:t>Regula o exercício da Odontologia no Brasil.</w:t>
            </w:r>
          </w:p>
        </w:tc>
        <w:tc>
          <w:tcPr>
            <w:tcW w:type="dxa" w:w="3577"/>
          </w:tcPr>
          <w:p>
            <w:pPr>
              <w:spacing w:after="0"/>
              <w:jc w:val="left"/>
            </w:pPr>
            <w:r/>
            <w:r>
              <w:rPr>
                <w:rFonts w:ascii="Calibri" w:hAnsi="Calibri"/>
                <w:b w:val="0"/>
                <w:color w:val="1A1A1A"/>
                <w:sz w:val="24"/>
              </w:rPr>
              <w:t>Base legal do exercício profissional.</w:t>
            </w:r>
          </w:p>
        </w:tc>
      </w:tr>
      <w:tr>
        <w:trPr>
          <w:cantSplit/>
        </w:trPr>
        <w:tc>
          <w:tcPr>
            <w:tcW w:type="dxa" w:w="2378"/>
            <w:shd w:val="clear" w:color="auto" w:fill="F2F5F8"/>
          </w:tcPr>
          <w:p>
            <w:pPr>
              <w:spacing w:after="0"/>
              <w:jc w:val="left"/>
            </w:pPr>
            <w:r/>
            <w:r>
              <w:rPr>
                <w:rFonts w:ascii="Calibri" w:hAnsi="Calibri"/>
                <w:b w:val="0"/>
                <w:color w:val="1A1A1A"/>
                <w:sz w:val="24"/>
              </w:rPr>
              <w:t>Resolução CFO nº 118/2012</w:t>
            </w:r>
          </w:p>
        </w:tc>
        <w:tc>
          <w:tcPr>
            <w:tcW w:type="dxa" w:w="3117"/>
            <w:shd w:val="clear" w:color="auto" w:fill="F2F5F8"/>
          </w:tcPr>
          <w:p>
            <w:pPr>
              <w:spacing w:after="0"/>
              <w:jc w:val="left"/>
            </w:pPr>
            <w:r/>
            <w:r>
              <w:rPr>
                <w:rFonts w:ascii="Calibri" w:hAnsi="Calibri"/>
                <w:b w:val="0"/>
                <w:color w:val="1A1A1A"/>
                <w:sz w:val="24"/>
              </w:rPr>
              <w:t>Código de Ética Odontológica.</w:t>
            </w:r>
          </w:p>
        </w:tc>
        <w:tc>
          <w:tcPr>
            <w:tcW w:type="dxa" w:w="3577"/>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378"/>
          </w:tcPr>
          <w:p>
            <w:pPr>
              <w:spacing w:after="0"/>
              <w:jc w:val="left"/>
            </w:pPr>
            <w:r/>
            <w:r>
              <w:rPr>
                <w:rFonts w:ascii="Calibri" w:hAnsi="Calibri"/>
                <w:b w:val="0"/>
                <w:color w:val="1A1A1A"/>
                <w:sz w:val="24"/>
              </w:rPr>
              <w:t>RDC Anvisa nº 1.002, de 15 de dezembro de 2025</w:t>
            </w:r>
          </w:p>
        </w:tc>
        <w:tc>
          <w:tcPr>
            <w:tcW w:type="dxa" w:w="3117"/>
          </w:tcPr>
          <w:p>
            <w:pPr>
              <w:spacing w:after="0"/>
              <w:jc w:val="left"/>
            </w:pPr>
            <w:r/>
            <w:r>
              <w:rPr>
                <w:rFonts w:ascii="Calibri" w:hAnsi="Calibri"/>
                <w:b w:val="0"/>
                <w:color w:val="1A1A1A"/>
                <w:sz w:val="24"/>
              </w:rPr>
              <w:t>Boas Práticas de Funcionamento para serviços que prestam assistência odontológica.</w:t>
            </w:r>
          </w:p>
        </w:tc>
        <w:tc>
          <w:tcPr>
            <w:tcW w:type="dxa" w:w="3577"/>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378"/>
            <w:shd w:val="clear" w:color="auto" w:fill="F2F5F8"/>
          </w:tcPr>
          <w:p>
            <w:pPr>
              <w:spacing w:after="0"/>
              <w:jc w:val="left"/>
            </w:pPr>
            <w:r/>
            <w:r>
              <w:rPr>
                <w:rFonts w:ascii="Calibri" w:hAnsi="Calibri"/>
                <w:b w:val="0"/>
                <w:color w:val="1A1A1A"/>
                <w:sz w:val="24"/>
              </w:rPr>
              <w:t>RDC Anvisa nº 63/2011</w:t>
            </w:r>
          </w:p>
        </w:tc>
        <w:tc>
          <w:tcPr>
            <w:tcW w:type="dxa" w:w="3117"/>
            <w:shd w:val="clear" w:color="auto" w:fill="F2F5F8"/>
          </w:tcPr>
          <w:p>
            <w:pPr>
              <w:spacing w:after="0"/>
              <w:jc w:val="left"/>
            </w:pPr>
            <w:r/>
            <w:r>
              <w:rPr>
                <w:rFonts w:ascii="Calibri" w:hAnsi="Calibri"/>
                <w:b w:val="0"/>
                <w:color w:val="1A1A1A"/>
                <w:sz w:val="24"/>
              </w:rPr>
              <w:t>Boas Práticas de Funcionamento para serviços de saúde.</w:t>
            </w:r>
          </w:p>
        </w:tc>
        <w:tc>
          <w:tcPr>
            <w:tcW w:type="dxa" w:w="3577"/>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378"/>
          </w:tcPr>
          <w:p>
            <w:pPr>
              <w:spacing w:after="0"/>
              <w:jc w:val="left"/>
            </w:pPr>
            <w:r/>
            <w:r>
              <w:rPr>
                <w:rFonts w:ascii="Calibri" w:hAnsi="Calibri"/>
                <w:b w:val="0"/>
                <w:color w:val="1A1A1A"/>
                <w:sz w:val="24"/>
              </w:rPr>
              <w:t>RDC Anvisa nº 509/2021</w:t>
            </w:r>
          </w:p>
        </w:tc>
        <w:tc>
          <w:tcPr>
            <w:tcW w:type="dxa" w:w="3117"/>
          </w:tcPr>
          <w:p>
            <w:pPr>
              <w:spacing w:after="0"/>
              <w:jc w:val="left"/>
            </w:pPr>
            <w:r/>
            <w:r>
              <w:rPr>
                <w:rFonts w:ascii="Calibri" w:hAnsi="Calibri"/>
                <w:b w:val="0"/>
                <w:color w:val="1A1A1A"/>
                <w:sz w:val="24"/>
              </w:rPr>
              <w:t>Gerenciamento de tecnologias em serviços de saúde.</w:t>
            </w:r>
          </w:p>
        </w:tc>
        <w:tc>
          <w:tcPr>
            <w:tcW w:type="dxa" w:w="3577"/>
          </w:tcPr>
          <w:p>
            <w:pPr>
              <w:spacing w:after="0"/>
              <w:jc w:val="left"/>
            </w:pPr>
            <w:r/>
            <w:r>
              <w:rPr>
                <w:rFonts w:ascii="Calibri" w:hAnsi="Calibri"/>
                <w:b w:val="0"/>
                <w:color w:val="1A1A1A"/>
                <w:sz w:val="24"/>
              </w:rPr>
              <w:t>Plano de gerenciamento, rastreabilidade, guarda e monitoramento.</w:t>
            </w:r>
          </w:p>
        </w:tc>
      </w:tr>
      <w:tr>
        <w:trPr>
          <w:cantSplit/>
        </w:trPr>
        <w:tc>
          <w:tcPr>
            <w:tcW w:type="dxa" w:w="2378"/>
            <w:shd w:val="clear" w:color="auto" w:fill="F2F5F8"/>
          </w:tcPr>
          <w:p>
            <w:pPr>
              <w:spacing w:after="0"/>
              <w:jc w:val="left"/>
            </w:pPr>
            <w:r/>
            <w:r>
              <w:rPr>
                <w:rFonts w:ascii="Calibri" w:hAnsi="Calibri"/>
                <w:b w:val="0"/>
                <w:color w:val="1A1A1A"/>
                <w:sz w:val="24"/>
              </w:rPr>
              <w:t>RDC Anvisa nº 751/2022</w:t>
            </w:r>
          </w:p>
        </w:tc>
        <w:tc>
          <w:tcPr>
            <w:tcW w:type="dxa" w:w="3117"/>
            <w:shd w:val="clear" w:color="auto" w:fill="F2F5F8"/>
          </w:tcPr>
          <w:p>
            <w:pPr>
              <w:spacing w:after="0"/>
              <w:jc w:val="left"/>
            </w:pPr>
            <w:r/>
            <w:r>
              <w:rPr>
                <w:rFonts w:ascii="Calibri" w:hAnsi="Calibri"/>
                <w:b w:val="0"/>
                <w:color w:val="1A1A1A"/>
                <w:sz w:val="24"/>
              </w:rPr>
              <w:t>Dispositivos médicos: classificação e regularização.</w:t>
            </w:r>
          </w:p>
        </w:tc>
        <w:tc>
          <w:tcPr>
            <w:tcW w:type="dxa" w:w="3577"/>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378"/>
          </w:tcPr>
          <w:p>
            <w:pPr>
              <w:spacing w:after="0"/>
              <w:jc w:val="left"/>
            </w:pPr>
            <w:r/>
            <w:r>
              <w:rPr>
                <w:rFonts w:ascii="Calibri" w:hAnsi="Calibri"/>
                <w:b w:val="0"/>
                <w:color w:val="1A1A1A"/>
                <w:sz w:val="24"/>
              </w:rPr>
              <w:t>RDC Anvisa nº 549/2021</w:t>
            </w:r>
          </w:p>
        </w:tc>
        <w:tc>
          <w:tcPr>
            <w:tcW w:type="dxa" w:w="3117"/>
          </w:tcPr>
          <w:p>
            <w:pPr>
              <w:spacing w:after="0"/>
              <w:jc w:val="left"/>
            </w:pPr>
            <w:r/>
            <w:r>
              <w:rPr>
                <w:rFonts w:ascii="Calibri" w:hAnsi="Calibri"/>
                <w:b w:val="0"/>
                <w:color w:val="1A1A1A"/>
                <w:sz w:val="24"/>
              </w:rPr>
              <w:t>Certificação de conformidade de equipamentos sob regime aplicável.</w:t>
            </w:r>
          </w:p>
        </w:tc>
        <w:tc>
          <w:tcPr>
            <w:tcW w:type="dxa" w:w="3577"/>
          </w:tcPr>
          <w:p>
            <w:pPr>
              <w:spacing w:after="0"/>
              <w:jc w:val="left"/>
            </w:pPr>
            <w:r/>
            <w:r>
              <w:rPr>
                <w:rFonts w:ascii="Calibri" w:hAnsi="Calibri"/>
                <w:b w:val="0"/>
                <w:color w:val="1A1A1A"/>
                <w:sz w:val="24"/>
              </w:rPr>
              <w:t>Conformidade de equipamentos eletromédicos.</w:t>
            </w:r>
          </w:p>
        </w:tc>
      </w:tr>
      <w:tr>
        <w:trPr>
          <w:cantSplit/>
        </w:trPr>
        <w:tc>
          <w:tcPr>
            <w:tcW w:type="dxa" w:w="2378"/>
            <w:shd w:val="clear" w:color="auto" w:fill="F2F5F8"/>
          </w:tcPr>
          <w:p>
            <w:pPr>
              <w:spacing w:after="0"/>
              <w:jc w:val="left"/>
            </w:pPr>
            <w:r/>
            <w:r>
              <w:rPr>
                <w:rFonts w:ascii="Calibri" w:hAnsi="Calibri"/>
                <w:b w:val="0"/>
                <w:color w:val="1A1A1A"/>
                <w:sz w:val="24"/>
              </w:rPr>
              <w:t>Lei nº 13.709/2018</w:t>
            </w:r>
          </w:p>
        </w:tc>
        <w:tc>
          <w:tcPr>
            <w:tcW w:type="dxa" w:w="3117"/>
            <w:shd w:val="clear" w:color="auto" w:fill="F2F5F8"/>
          </w:tcPr>
          <w:p>
            <w:pPr>
              <w:spacing w:after="0"/>
              <w:jc w:val="left"/>
            </w:pPr>
            <w:r/>
            <w:r>
              <w:rPr>
                <w:rFonts w:ascii="Calibri" w:hAnsi="Calibri"/>
                <w:b w:val="0"/>
                <w:color w:val="1A1A1A"/>
                <w:sz w:val="24"/>
              </w:rPr>
              <w:t>Lei Geral de Proteção de Dados Pessoais.</w:t>
            </w:r>
          </w:p>
        </w:tc>
        <w:tc>
          <w:tcPr>
            <w:tcW w:type="dxa" w:w="3577"/>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378"/>
          </w:tcPr>
          <w:p>
            <w:pPr>
              <w:spacing w:after="0"/>
              <w:jc w:val="left"/>
            </w:pPr>
            <w:r/>
            <w:r>
              <w:rPr>
                <w:rFonts w:ascii="Calibri" w:hAnsi="Calibri"/>
                <w:b w:val="0"/>
                <w:color w:val="1A1A1A"/>
                <w:sz w:val="24"/>
              </w:rPr>
              <w:t>Lei nº 15.378, de 6 de abril de 2026</w:t>
            </w:r>
          </w:p>
        </w:tc>
        <w:tc>
          <w:tcPr>
            <w:tcW w:type="dxa" w:w="3117"/>
          </w:tcPr>
          <w:p>
            <w:pPr>
              <w:spacing w:after="0"/>
              <w:jc w:val="left"/>
            </w:pPr>
            <w:r/>
            <w:r>
              <w:rPr>
                <w:rFonts w:ascii="Calibri" w:hAnsi="Calibri"/>
                <w:b w:val="0"/>
                <w:color w:val="1A1A1A"/>
                <w:sz w:val="24"/>
              </w:rPr>
              <w:t>Institui o Estatuto dos Direitos do Paciente.</w:t>
            </w:r>
          </w:p>
        </w:tc>
        <w:tc>
          <w:tcPr>
            <w:tcW w:type="dxa" w:w="3577"/>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378"/>
            <w:shd w:val="clear" w:color="auto" w:fill="F2F5F8"/>
          </w:tcPr>
          <w:p>
            <w:pPr>
              <w:spacing w:after="0"/>
              <w:jc w:val="left"/>
            </w:pPr>
            <w:r/>
            <w:r>
              <w:rPr>
                <w:rFonts w:ascii="Calibri" w:hAnsi="Calibri"/>
                <w:b w:val="0"/>
                <w:color w:val="1A1A1A"/>
                <w:sz w:val="24"/>
              </w:rPr>
              <w:t>Lei nº 12.842/2013</w:t>
            </w:r>
          </w:p>
        </w:tc>
        <w:tc>
          <w:tcPr>
            <w:tcW w:type="dxa" w:w="3117"/>
            <w:shd w:val="clear" w:color="auto" w:fill="F2F5F8"/>
          </w:tcPr>
          <w:p>
            <w:pPr>
              <w:spacing w:after="0"/>
              <w:jc w:val="left"/>
            </w:pPr>
            <w:r/>
            <w:r>
              <w:rPr>
                <w:rFonts w:ascii="Calibri" w:hAnsi="Calibri"/>
                <w:b w:val="0"/>
                <w:color w:val="1A1A1A"/>
                <w:sz w:val="24"/>
              </w:rPr>
              <w:t>Lei do Ato Médico.</w:t>
            </w:r>
          </w:p>
        </w:tc>
        <w:tc>
          <w:tcPr>
            <w:tcW w:type="dxa" w:w="3577"/>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378"/>
          </w:tcPr>
          <w:p>
            <w:pPr>
              <w:spacing w:after="0"/>
              <w:jc w:val="left"/>
            </w:pPr>
            <w:r/>
            <w:r>
              <w:rPr>
                <w:rFonts w:ascii="Calibri" w:hAnsi="Calibri"/>
                <w:b w:val="0"/>
                <w:color w:val="1A1A1A"/>
                <w:sz w:val="24"/>
              </w:rPr>
              <w:t>Portaria CRO-MG nº 190/2026</w:t>
            </w:r>
          </w:p>
        </w:tc>
        <w:tc>
          <w:tcPr>
            <w:tcW w:type="dxa" w:w="3117"/>
          </w:tcPr>
          <w:p>
            <w:pPr>
              <w:spacing w:after="0"/>
              <w:jc w:val="left"/>
            </w:pPr>
            <w:r/>
            <w:r>
              <w:rPr>
                <w:rFonts w:ascii="Calibri" w:hAnsi="Calibri"/>
                <w:b w:val="0"/>
                <w:color w:val="1A1A1A"/>
                <w:sz w:val="24"/>
              </w:rPr>
              <w:t>Constitui a Câmara Técnica de HOF e seus Núcleos.</w:t>
            </w:r>
          </w:p>
        </w:tc>
        <w:tc>
          <w:tcPr>
            <w:tcW w:type="dxa" w:w="3577"/>
          </w:tcPr>
          <w:p>
            <w:pPr>
              <w:spacing w:after="0"/>
              <w:jc w:val="left"/>
            </w:pPr>
            <w:r/>
            <w:r>
              <w:rPr>
                <w:rFonts w:ascii="Calibri" w:hAnsi="Calibri"/>
                <w:b w:val="0"/>
                <w:color w:val="1A1A1A"/>
                <w:sz w:val="24"/>
              </w:rPr>
              <w:t>Competência e composição do Núcleo 5.</w:t>
            </w:r>
          </w:p>
        </w:tc>
      </w:tr>
    </w:tbl>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CT-HOF-NT-01 · Nota Técnica sobre Conformidade Regulatória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Câmara Técnica de HOF · CRO-MG | CT-HOF-NT-01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