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POP-N5-11  Biossegurança e processamento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22"/>
        <w:gridCol w:w="5550"/>
      </w:tblGrid>
      <w:tr>
        <w:trPr>
          <w:cantSplit/>
          <w:tblHeader/>
        </w:trPr>
        <w:tc>
          <w:tcPr>
            <w:tcW w:type="dxa" w:w="3522"/>
            <w:shd w:val="clear" w:color="auto" w:fill="143C64"/>
          </w:tcPr>
          <w:p>
            <w:pPr>
              <w:spacing w:after="0"/>
              <w:jc w:val="left"/>
            </w:pPr>
            <w:r/>
            <w:r>
              <w:rPr>
                <w:rFonts w:ascii="Calibri" w:hAnsi="Calibri"/>
                <w:b/>
                <w:color w:val="FFFFFF"/>
                <w:sz w:val="24"/>
              </w:rPr>
              <w:t>Campo</w:t>
            </w:r>
          </w:p>
        </w:tc>
        <w:tc>
          <w:tcPr>
            <w:tcW w:type="dxa" w:w="5550"/>
            <w:shd w:val="clear" w:color="auto" w:fill="143C64"/>
          </w:tcPr>
          <w:p>
            <w:pPr>
              <w:spacing w:after="0"/>
              <w:jc w:val="left"/>
            </w:pPr>
            <w:r/>
            <w:r>
              <w:rPr>
                <w:rFonts w:ascii="Calibri" w:hAnsi="Calibri"/>
                <w:b/>
                <w:color w:val="FFFFFF"/>
                <w:sz w:val="24"/>
              </w:rPr>
              <w:t>Conteúdo</w:t>
            </w:r>
          </w:p>
        </w:tc>
      </w:tr>
      <w:tr>
        <w:trPr>
          <w:cantSplit/>
        </w:trPr>
        <w:tc>
          <w:tcPr>
            <w:tcW w:type="dxa" w:w="3522"/>
          </w:tcPr>
          <w:p>
            <w:pPr>
              <w:spacing w:after="0"/>
              <w:jc w:val="left"/>
            </w:pPr>
            <w:r/>
            <w:r>
              <w:rPr>
                <w:rFonts w:ascii="Calibri" w:hAnsi="Calibri"/>
                <w:b/>
                <w:color w:val="1A1A1A"/>
                <w:sz w:val="24"/>
              </w:rPr>
              <w:t>1. Identificação</w:t>
            </w:r>
          </w:p>
        </w:tc>
        <w:tc>
          <w:tcPr>
            <w:tcW w:type="dxa" w:w="5550"/>
          </w:tcPr>
          <w:p>
            <w:pPr>
              <w:spacing w:after="0"/>
              <w:jc w:val="left"/>
            </w:pPr>
            <w:r/>
            <w:r>
              <w:rPr>
                <w:rFonts w:ascii="Calibri" w:hAnsi="Calibri"/>
                <w:b w:val="0"/>
                <w:color w:val="1A1A1A"/>
                <w:sz w:val="24"/>
              </w:rPr>
              <w:t>Código POP-N5-11. Versão 1.0. Emissão em 26 de agosto de 2026. Próxima revisão em até doze meses. Onda de produção 2. Situação de escopo: Livre. Responsável técnico pela redação: Campo de preenchimento pelo serviço.</w:t>
            </w:r>
          </w:p>
        </w:tc>
      </w:tr>
      <w:tr>
        <w:trPr>
          <w:cantSplit/>
        </w:trPr>
        <w:tc>
          <w:tcPr>
            <w:tcW w:type="dxa" w:w="3522"/>
            <w:shd w:val="clear" w:color="auto" w:fill="F2F5F8"/>
          </w:tcPr>
          <w:p>
            <w:pPr>
              <w:spacing w:after="0"/>
              <w:jc w:val="left"/>
            </w:pPr>
            <w:r/>
            <w:r>
              <w:rPr>
                <w:rFonts w:ascii="Calibri" w:hAnsi="Calibri"/>
                <w:b/>
                <w:color w:val="1A1A1A"/>
                <w:sz w:val="24"/>
              </w:rPr>
              <w:t>2. Objetivo e alcance</w:t>
            </w:r>
          </w:p>
        </w:tc>
        <w:tc>
          <w:tcPr>
            <w:tcW w:type="dxa" w:w="5550"/>
            <w:shd w:val="clear" w:color="auto" w:fill="F2F5F8"/>
          </w:tcPr>
          <w:p>
            <w:pPr>
              <w:spacing w:after="0"/>
              <w:jc w:val="left"/>
            </w:pPr>
            <w:r/>
            <w:r>
              <w:rPr>
                <w:rFonts w:ascii="Calibri" w:hAnsi="Calibri"/>
                <w:b w:val="0"/>
                <w:color w:val="1A1A1A"/>
                <w:sz w:val="24"/>
              </w:rPr>
              <w:t>Padronizar as rotinas de biossegurança aplicáveis a todo atendimento e o processamento de instrumentais e de equipamentos de contato entre pacientes.</w:t>
            </w:r>
          </w:p>
        </w:tc>
      </w:tr>
      <w:tr>
        <w:trPr>
          <w:cantSplit/>
        </w:trPr>
        <w:tc>
          <w:tcPr>
            <w:tcW w:type="dxa" w:w="3522"/>
          </w:tcPr>
          <w:p>
            <w:pPr>
              <w:spacing w:after="0"/>
              <w:jc w:val="left"/>
            </w:pPr>
            <w:r/>
            <w:r>
              <w:rPr>
                <w:rFonts w:ascii="Calibri" w:hAnsi="Calibri"/>
                <w:b/>
                <w:color w:val="1A1A1A"/>
                <w:sz w:val="24"/>
              </w:rPr>
              <w:t>3. Situação regulatória</w:t>
            </w:r>
          </w:p>
        </w:tc>
        <w:tc>
          <w:tcPr>
            <w:tcW w:type="dxa" w:w="5550"/>
          </w:tcPr>
          <w:p>
            <w:pPr>
              <w:spacing w:after="0"/>
              <w:jc w:val="left"/>
            </w:pPr>
            <w:r/>
            <w:r>
              <w:rPr>
                <w:rFonts w:ascii="Calibri" w:hAnsi="Calibri"/>
                <w:b w:val="0"/>
                <w:color w:val="1A1A1A"/>
                <w:sz w:val="24"/>
              </w:rPr>
              <w:t>RDC Anvisa nº 1.002/2025 e demais normas sanitárias aplicáveis ao serviço, incluindo as de processamento de produtos para saúde e de gerenciamento de resíduos. Registrar a data de consulta das normas locais.</w:t>
            </w:r>
          </w:p>
        </w:tc>
      </w:tr>
      <w:tr>
        <w:trPr>
          <w:cantSplit/>
        </w:trPr>
        <w:tc>
          <w:tcPr>
            <w:tcW w:type="dxa" w:w="3522"/>
            <w:shd w:val="clear" w:color="auto" w:fill="F2F5F8"/>
          </w:tcPr>
          <w:p>
            <w:pPr>
              <w:spacing w:after="0"/>
              <w:jc w:val="left"/>
            </w:pPr>
            <w:r/>
            <w:r>
              <w:rPr>
                <w:rFonts w:ascii="Calibri" w:hAnsi="Calibri"/>
                <w:b/>
                <w:color w:val="1A1A1A"/>
                <w:sz w:val="24"/>
              </w:rPr>
              <w:t>4. Competência exigida</w:t>
            </w:r>
          </w:p>
        </w:tc>
        <w:tc>
          <w:tcPr>
            <w:tcW w:type="dxa" w:w="5550"/>
            <w:shd w:val="clear" w:color="auto" w:fill="F2F5F8"/>
          </w:tcPr>
          <w:p>
            <w:pPr>
              <w:spacing w:after="0"/>
              <w:jc w:val="left"/>
            </w:pPr>
            <w:r/>
            <w:r>
              <w:rPr>
                <w:rFonts w:ascii="Calibri" w:hAnsi="Calibri"/>
                <w:b w:val="0"/>
                <w:color w:val="1A1A1A"/>
                <w:sz w:val="24"/>
              </w:rPr>
              <w:t>Toda a equipe, na medida de sua função. Responsável Técnico pela definição das rotinas, pelo treinamento e pela verificação.</w:t>
            </w:r>
          </w:p>
        </w:tc>
      </w:tr>
      <w:tr>
        <w:trPr>
          <w:cantSplit/>
        </w:trPr>
        <w:tc>
          <w:tcPr>
            <w:tcW w:type="dxa" w:w="3522"/>
          </w:tcPr>
          <w:p>
            <w:pPr>
              <w:spacing w:after="0"/>
              <w:jc w:val="left"/>
            </w:pPr>
            <w:r/>
            <w:r>
              <w:rPr>
                <w:rFonts w:ascii="Calibri" w:hAnsi="Calibri"/>
                <w:b/>
                <w:color w:val="1A1A1A"/>
                <w:sz w:val="24"/>
              </w:rPr>
              <w:t>5. Materiais e equipamentos</w:t>
            </w:r>
          </w:p>
        </w:tc>
        <w:tc>
          <w:tcPr>
            <w:tcW w:type="dxa" w:w="5550"/>
          </w:tcPr>
          <w:p>
            <w:pPr>
              <w:spacing w:after="0"/>
              <w:jc w:val="left"/>
            </w:pPr>
            <w:r/>
            <w:r>
              <w:rPr>
                <w:rFonts w:ascii="Calibri" w:hAnsi="Calibri"/>
                <w:b w:val="0"/>
                <w:color w:val="1A1A1A"/>
                <w:sz w:val="24"/>
              </w:rPr>
              <w:t>Insumos de higienização das mãos; equipamentos de proteção individual; produtos de limpeza e desinfecção compatíveis; recipientes para perfurocortantes e para resíduos; materiais de processamento conforme rotina do serviço.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Insumos de higienização disponíveis e acessíveis em todos os pontos de uso.</w:t>
      </w:r>
    </w:p>
    <w:p>
      <w:pPr>
        <w:pStyle w:val="ListBullet"/>
        <w:spacing w:after="60"/>
        <w:ind w:left="397"/>
        <w:jc w:val="both"/>
      </w:pPr>
      <w:r>
        <w:rPr>
          <w:rFonts w:ascii="Calibri" w:hAnsi="Calibri"/>
          <w:color w:val="1A1A1A"/>
          <w:sz w:val="24"/>
        </w:rPr>
        <w:t>☐  Equipamentos de proteção individual disponíveis, íntegros e em quantidade suficiente.</w:t>
      </w:r>
    </w:p>
    <w:p>
      <w:pPr>
        <w:pStyle w:val="ListBullet"/>
        <w:spacing w:after="60"/>
        <w:ind w:left="397"/>
        <w:jc w:val="both"/>
      </w:pPr>
      <w:r>
        <w:rPr>
          <w:rFonts w:ascii="Calibri" w:hAnsi="Calibri"/>
          <w:color w:val="1A1A1A"/>
          <w:sz w:val="24"/>
        </w:rPr>
        <w:t>☐  Produtos de desinfecção dentro da validade e compatíveis com as superfícies e equipamentos.</w:t>
      </w:r>
    </w:p>
    <w:p>
      <w:pPr>
        <w:pStyle w:val="ListBullet"/>
        <w:spacing w:after="60"/>
        <w:ind w:left="397"/>
        <w:jc w:val="both"/>
      </w:pPr>
      <w:r>
        <w:rPr>
          <w:rFonts w:ascii="Calibri" w:hAnsi="Calibri"/>
          <w:color w:val="1A1A1A"/>
          <w:sz w:val="24"/>
        </w:rPr>
        <w:t>☐  Recipiente de perfurocortantes dentro do limite de preenchimento.</w:t>
      </w:r>
    </w:p>
    <w:p>
      <w:pPr>
        <w:pStyle w:val="ListBullet"/>
        <w:spacing w:after="60"/>
        <w:ind w:left="397"/>
        <w:jc w:val="both"/>
      </w:pPr>
      <w:r>
        <w:rPr>
          <w:rFonts w:ascii="Calibri" w:hAnsi="Calibri"/>
          <w:color w:val="1A1A1A"/>
          <w:sz w:val="24"/>
        </w:rPr>
        <w:t>☐  Registros de processamento em dia.</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Higienizar as mãos conforme protocolo antes e após cada atendimento e sempre que indicado.</w:t>
      </w:r>
    </w:p>
    <w:p>
      <w:pPr>
        <w:pStyle w:val="ListNumber"/>
        <w:spacing w:after="60"/>
        <w:ind w:left="397"/>
        <w:jc w:val="both"/>
      </w:pPr>
      <w:r>
        <w:rPr>
          <w:rFonts w:ascii="Calibri" w:hAnsi="Calibri"/>
          <w:color w:val="1A1A1A"/>
          <w:sz w:val="24"/>
        </w:rPr>
        <w:t>Utilizar equipamentos de proteção individual adequados ao procedimento.</w:t>
      </w:r>
    </w:p>
    <w:p>
      <w:pPr>
        <w:pStyle w:val="ListNumber"/>
        <w:spacing w:after="60"/>
        <w:ind w:left="397"/>
        <w:jc w:val="both"/>
      </w:pPr>
      <w:r>
        <w:rPr>
          <w:rFonts w:ascii="Calibri" w:hAnsi="Calibri"/>
          <w:color w:val="1A1A1A"/>
          <w:sz w:val="24"/>
        </w:rPr>
        <w:t>Limpar e desinfetar superfícies e equipamentos entre pacientes.</w:t>
      </w:r>
    </w:p>
    <w:p>
      <w:pPr>
        <w:pStyle w:val="ListNumber"/>
        <w:spacing w:after="60"/>
        <w:ind w:left="397"/>
        <w:jc w:val="both"/>
      </w:pPr>
      <w:r>
        <w:rPr>
          <w:rFonts w:ascii="Calibri" w:hAnsi="Calibri"/>
          <w:color w:val="1A1A1A"/>
          <w:sz w:val="24"/>
        </w:rPr>
        <w:t>Descartar perfurocortantes em recipiente apropriado, imediatamente após o uso e sem reencape.</w:t>
      </w:r>
    </w:p>
    <w:p>
      <w:pPr>
        <w:pStyle w:val="ListNumber"/>
        <w:spacing w:after="60"/>
        <w:ind w:left="397"/>
        <w:jc w:val="both"/>
      </w:pPr>
      <w:r>
        <w:rPr>
          <w:rFonts w:ascii="Calibri" w:hAnsi="Calibri"/>
          <w:color w:val="1A1A1A"/>
          <w:sz w:val="24"/>
        </w:rPr>
        <w:t>Processar instrumentais conforme rotina definida, com registro.</w:t>
      </w:r>
    </w:p>
    <w:p>
      <w:pPr>
        <w:pStyle w:val="ListNumber"/>
        <w:spacing w:after="60"/>
        <w:ind w:left="397"/>
        <w:jc w:val="both"/>
      </w:pPr>
      <w:r>
        <w:rPr>
          <w:rFonts w:ascii="Calibri" w:hAnsi="Calibri"/>
          <w:color w:val="1A1A1A"/>
          <w:sz w:val="24"/>
        </w:rPr>
        <w:t>Limpar e desinfetar equipamento de contato com o paciente imediatamente após o uso, conforme protocolo do fabricante.</w:t>
      </w:r>
    </w:p>
    <w:p>
      <w:pPr>
        <w:pStyle w:val="ListNumber"/>
        <w:spacing w:after="60"/>
        <w:ind w:left="397"/>
        <w:jc w:val="both"/>
      </w:pPr>
      <w:r>
        <w:rPr>
          <w:rFonts w:ascii="Calibri" w:hAnsi="Calibri"/>
          <w:color w:val="1A1A1A"/>
          <w:sz w:val="24"/>
        </w:rPr>
        <w:t>Segregar e destinar resíduos conforme o plano de gerenciamento do serviço.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Falha de barreira, acidente com perfurocortante ou exposição a material biológico.</w:t>
      </w:r>
    </w:p>
    <w:p>
      <w:pPr>
        <w:pStyle w:val="ListBullet"/>
        <w:spacing w:after="60"/>
        <w:ind w:left="397"/>
        <w:jc w:val="both"/>
      </w:pPr>
      <w:r>
        <w:rPr>
          <w:rFonts w:ascii="Calibri" w:hAnsi="Calibri"/>
          <w:color w:val="1A1A1A"/>
          <w:sz w:val="24"/>
        </w:rPr>
        <w:t>Produto de desinfecção incompatível com a superfície ou o equipamento.</w:t>
      </w:r>
    </w:p>
    <w:p>
      <w:pPr>
        <w:pStyle w:val="ListBullet"/>
        <w:spacing w:after="60"/>
        <w:ind w:left="397"/>
        <w:jc w:val="both"/>
      </w:pPr>
      <w:r>
        <w:rPr>
          <w:rFonts w:ascii="Calibri" w:hAnsi="Calibri"/>
          <w:color w:val="1A1A1A"/>
          <w:sz w:val="24"/>
        </w:rPr>
        <w:t>Registro de processamento ausente ou incompleto.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Acidente com material biológico exige interrupção, cuidado imediato do acidentado, registro e encaminhamento conforme protocolo de saúde ocupacional do serviço.</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Registros de processamento, com data e responsável.</w:t>
      </w:r>
    </w:p>
    <w:p>
      <w:pPr>
        <w:pStyle w:val="ListBullet"/>
        <w:spacing w:after="60"/>
        <w:ind w:left="397"/>
        <w:jc w:val="both"/>
      </w:pPr>
      <w:r>
        <w:rPr>
          <w:rFonts w:ascii="Calibri" w:hAnsi="Calibri"/>
          <w:color w:val="1A1A1A"/>
          <w:sz w:val="24"/>
        </w:rPr>
        <w:t>Registro de acidentes e das providências adotadas.</w:t>
      </w:r>
    </w:p>
    <w:p>
      <w:pPr>
        <w:pStyle w:val="ListBullet"/>
        <w:spacing w:after="60"/>
        <w:ind w:left="397"/>
        <w:jc w:val="both"/>
      </w:pPr>
      <w:r>
        <w:rPr>
          <w:rFonts w:ascii="Calibri" w:hAnsi="Calibri"/>
          <w:color w:val="1A1A1A"/>
          <w:sz w:val="24"/>
        </w:rPr>
        <w:t>Registro de treinamento da equipe.</w:t>
      </w:r>
    </w:p>
    <w:p>
      <w:pPr>
        <w:pStyle w:val="ListBullet"/>
        <w:spacing w:after="60"/>
        <w:ind w:left="397"/>
        <w:jc w:val="both"/>
      </w:pPr>
      <w:r>
        <w:rPr>
          <w:rFonts w:ascii="Calibri" w:hAnsi="Calibri"/>
          <w:color w:val="1A1A1A"/>
          <w:sz w:val="24"/>
        </w:rPr>
        <w:t>Controle de validade dos produtos utilizados.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Revisar periodicamente as rotinas diante de alteração normativa, de novo equipamento ou de ocorrência registrada.</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Normas sanitárias locais, com data de consulta. Documento 09 do pacote.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POP-N5-11 · Biossegurança e processamento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